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905" w14:textId="77777777" w:rsidR="00F8376E" w:rsidRPr="008C7146" w:rsidRDefault="00F8376E" w:rsidP="00D33991">
      <w:pPr>
        <w:spacing w:after="0"/>
        <w:rPr>
          <w:rFonts w:cstheme="minorHAnsi"/>
          <w:b/>
          <w:sz w:val="24"/>
          <w:szCs w:val="24"/>
        </w:rPr>
      </w:pPr>
    </w:p>
    <w:p w14:paraId="3B099F76" w14:textId="77777777" w:rsidR="00AD42E6" w:rsidRPr="008C7146" w:rsidRDefault="00AD42E6" w:rsidP="00AD42E6">
      <w:pPr>
        <w:rPr>
          <w:rFonts w:ascii="Arial" w:hAnsi="Arial" w:cs="Arial"/>
          <w:b/>
          <w:szCs w:val="36"/>
        </w:rPr>
      </w:pPr>
      <w:r>
        <w:rPr>
          <w:rFonts w:ascii="Arial" w:hAnsi="Arial" w:cs="Arial"/>
          <w:b/>
          <w:noProof/>
          <w:sz w:val="36"/>
          <w:szCs w:val="36"/>
        </w:rPr>
        <w:drawing>
          <wp:inline distT="0" distB="0" distL="0" distR="0" wp14:anchorId="33924EFE" wp14:editId="0EED4656">
            <wp:extent cx="6400800" cy="603504"/>
            <wp:effectExtent l="19050" t="0" r="38100" b="254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Style w:val="MediumShading1-Accent5"/>
        <w:tblW w:w="10036" w:type="dxa"/>
        <w:tblLook w:val="04A0" w:firstRow="1" w:lastRow="0" w:firstColumn="1" w:lastColumn="0" w:noHBand="0" w:noVBand="1"/>
      </w:tblPr>
      <w:tblGrid>
        <w:gridCol w:w="2006"/>
        <w:gridCol w:w="2007"/>
        <w:gridCol w:w="2006"/>
        <w:gridCol w:w="2007"/>
        <w:gridCol w:w="2010"/>
      </w:tblGrid>
      <w:tr w:rsidR="00AD42E6" w14:paraId="20C4AD60" w14:textId="77777777" w:rsidTr="0000030D">
        <w:trPr>
          <w:cnfStyle w:val="100000000000" w:firstRow="1" w:lastRow="0" w:firstColumn="0" w:lastColumn="0" w:oddVBand="0" w:evenVBand="0" w:oddHBand="0"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2006" w:type="dxa"/>
            <w:shd w:val="clear" w:color="auto" w:fill="DBE5F1" w:themeFill="accent1" w:themeFillTint="33"/>
            <w:vAlign w:val="center"/>
          </w:tcPr>
          <w:p w14:paraId="7B373B98" w14:textId="77777777" w:rsidR="00AD42E6" w:rsidRPr="00921483" w:rsidRDefault="00AD42E6" w:rsidP="0000030D">
            <w:pPr>
              <w:jc w:val="center"/>
              <w:rPr>
                <w:rFonts w:cstheme="minorHAnsi"/>
                <w:color w:val="auto"/>
              </w:rPr>
            </w:pPr>
            <w:r w:rsidRPr="00921483">
              <w:rPr>
                <w:rFonts w:cstheme="minorHAnsi"/>
                <w:color w:val="auto"/>
              </w:rPr>
              <w:t xml:space="preserve">Employee’s </w:t>
            </w:r>
            <w:r w:rsidRPr="00921483">
              <w:rPr>
                <w:rFonts w:cstheme="minorHAnsi"/>
                <w:color w:val="auto"/>
              </w:rPr>
              <w:br/>
              <w:t>Current Step</w:t>
            </w:r>
          </w:p>
        </w:tc>
        <w:tc>
          <w:tcPr>
            <w:tcW w:w="2007" w:type="dxa"/>
            <w:shd w:val="clear" w:color="auto" w:fill="DBE5F1" w:themeFill="accent1" w:themeFillTint="33"/>
            <w:vAlign w:val="center"/>
          </w:tcPr>
          <w:p w14:paraId="10F6433D" w14:textId="77777777" w:rsidR="00AD42E6" w:rsidRPr="00921483" w:rsidRDefault="00AD42E6" w:rsidP="0000030D">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21483">
              <w:rPr>
                <w:rFonts w:cstheme="minorHAnsi"/>
                <w:color w:val="auto"/>
              </w:rPr>
              <w:t>EPAS</w:t>
            </w:r>
            <w:r w:rsidRPr="00921483">
              <w:rPr>
                <w:rFonts w:cstheme="minorHAnsi"/>
                <w:color w:val="auto"/>
              </w:rPr>
              <w:br/>
              <w:t>RATING*</w:t>
            </w:r>
          </w:p>
        </w:tc>
        <w:tc>
          <w:tcPr>
            <w:tcW w:w="2006" w:type="dxa"/>
            <w:shd w:val="clear" w:color="auto" w:fill="DBE5F1" w:themeFill="accent1" w:themeFillTint="33"/>
            <w:vAlign w:val="center"/>
          </w:tcPr>
          <w:p w14:paraId="527E28F1" w14:textId="77777777" w:rsidR="00AD42E6" w:rsidRPr="00921483" w:rsidRDefault="00AD42E6" w:rsidP="0000030D">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21483">
              <w:rPr>
                <w:rFonts w:cstheme="minorHAnsi"/>
                <w:color w:val="auto"/>
              </w:rPr>
              <w:t>NUMERIC EQUIVALENT</w:t>
            </w:r>
          </w:p>
        </w:tc>
        <w:tc>
          <w:tcPr>
            <w:tcW w:w="2007" w:type="dxa"/>
            <w:shd w:val="clear" w:color="auto" w:fill="DBE5F1" w:themeFill="accent1" w:themeFillTint="33"/>
            <w:vAlign w:val="center"/>
          </w:tcPr>
          <w:p w14:paraId="4CF57EB7" w14:textId="77777777" w:rsidR="00AD42E6" w:rsidRPr="00921483" w:rsidRDefault="00AD42E6" w:rsidP="0000030D">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21483">
              <w:rPr>
                <w:rFonts w:cstheme="minorHAnsi"/>
                <w:color w:val="auto"/>
              </w:rPr>
              <w:t>K.C.C.</w:t>
            </w:r>
            <w:r w:rsidRPr="00921483">
              <w:rPr>
                <w:rFonts w:cstheme="minorHAnsi"/>
                <w:color w:val="auto"/>
              </w:rPr>
              <w:br/>
              <w:t>PROVISION</w:t>
            </w:r>
          </w:p>
        </w:tc>
        <w:tc>
          <w:tcPr>
            <w:tcW w:w="2007" w:type="dxa"/>
            <w:shd w:val="clear" w:color="auto" w:fill="DBE5F1" w:themeFill="accent1" w:themeFillTint="33"/>
            <w:vAlign w:val="center"/>
          </w:tcPr>
          <w:p w14:paraId="010B122B" w14:textId="77777777" w:rsidR="00AD42E6" w:rsidRPr="00921483" w:rsidRDefault="00AD42E6" w:rsidP="0000030D">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21483">
              <w:rPr>
                <w:rFonts w:cstheme="minorHAnsi"/>
                <w:color w:val="auto"/>
              </w:rPr>
              <w:t>CODE PROVIDED POSSIBLE STEPS</w:t>
            </w:r>
          </w:p>
        </w:tc>
      </w:tr>
      <w:tr w:rsidR="00AD42E6" w14:paraId="2146F01D" w14:textId="77777777" w:rsidTr="0000030D">
        <w:trPr>
          <w:cnfStyle w:val="000000100000" w:firstRow="0" w:lastRow="0" w:firstColumn="0" w:lastColumn="0" w:oddVBand="0" w:evenVBand="0" w:oddHBand="1" w:evenHBand="0" w:firstRowFirstColumn="0" w:firstRowLastColumn="0" w:lastRowFirstColumn="0" w:lastRowLastColumn="0"/>
          <w:cantSplit/>
          <w:trHeight w:val="591"/>
        </w:trPr>
        <w:tc>
          <w:tcPr>
            <w:cnfStyle w:val="001000000000" w:firstRow="0" w:lastRow="0" w:firstColumn="1" w:lastColumn="0" w:oddVBand="0" w:evenVBand="0" w:oddHBand="0" w:evenHBand="0" w:firstRowFirstColumn="0" w:firstRowLastColumn="0" w:lastRowFirstColumn="0" w:lastRowLastColumn="0"/>
            <w:tcW w:w="2006" w:type="dxa"/>
            <w:shd w:val="clear" w:color="auto" w:fill="FFFFFF" w:themeFill="background1"/>
            <w:vAlign w:val="center"/>
          </w:tcPr>
          <w:p w14:paraId="343C06BB" w14:textId="77777777" w:rsidR="00AD42E6" w:rsidRPr="00921483" w:rsidRDefault="00AD42E6" w:rsidP="0000030D">
            <w:pPr>
              <w:jc w:val="center"/>
              <w:rPr>
                <w:rFonts w:cstheme="minorHAnsi"/>
              </w:rPr>
            </w:pPr>
            <w:r w:rsidRPr="00921483">
              <w:rPr>
                <w:rFonts w:cstheme="minorHAnsi"/>
              </w:rPr>
              <w:t>Step 1 – 4</w:t>
            </w:r>
          </w:p>
        </w:tc>
        <w:tc>
          <w:tcPr>
            <w:tcW w:w="2007" w:type="dxa"/>
            <w:shd w:val="clear" w:color="auto" w:fill="FFFFFF" w:themeFill="background1"/>
            <w:vAlign w:val="center"/>
          </w:tcPr>
          <w:p w14:paraId="7DDB0484"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Meets Expectations</w:t>
            </w:r>
          </w:p>
        </w:tc>
        <w:tc>
          <w:tcPr>
            <w:tcW w:w="2006" w:type="dxa"/>
            <w:shd w:val="clear" w:color="auto" w:fill="FFFFFF" w:themeFill="background1"/>
            <w:vAlign w:val="center"/>
          </w:tcPr>
          <w:p w14:paraId="56493692"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3.0000 – 3.9999</w:t>
            </w:r>
          </w:p>
        </w:tc>
        <w:tc>
          <w:tcPr>
            <w:tcW w:w="2007" w:type="dxa"/>
            <w:shd w:val="clear" w:color="auto" w:fill="FFFFFF" w:themeFill="background1"/>
            <w:vAlign w:val="center"/>
          </w:tcPr>
          <w:p w14:paraId="51BF75F3"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Standard Performance</w:t>
            </w:r>
          </w:p>
        </w:tc>
        <w:tc>
          <w:tcPr>
            <w:tcW w:w="2007" w:type="dxa"/>
            <w:shd w:val="clear" w:color="auto" w:fill="FFFFFF" w:themeFill="background1"/>
            <w:vAlign w:val="center"/>
          </w:tcPr>
          <w:p w14:paraId="391CCF3C"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Single Step</w:t>
            </w:r>
          </w:p>
        </w:tc>
      </w:tr>
      <w:tr w:rsidR="00AD42E6" w14:paraId="5C64CB7C" w14:textId="77777777" w:rsidTr="0000030D">
        <w:trPr>
          <w:cnfStyle w:val="000000010000" w:firstRow="0" w:lastRow="0" w:firstColumn="0" w:lastColumn="0" w:oddVBand="0" w:evenVBand="0" w:oddHBand="0" w:evenHBand="1" w:firstRowFirstColumn="0" w:firstRowLastColumn="0" w:lastRowFirstColumn="0" w:lastRowLastColumn="0"/>
          <w:cantSplit/>
          <w:trHeight w:val="998"/>
        </w:trPr>
        <w:tc>
          <w:tcPr>
            <w:cnfStyle w:val="001000000000" w:firstRow="0" w:lastRow="0" w:firstColumn="1" w:lastColumn="0" w:oddVBand="0" w:evenVBand="0" w:oddHBand="0" w:evenHBand="0" w:firstRowFirstColumn="0" w:firstRowLastColumn="0" w:lastRowFirstColumn="0" w:lastRowLastColumn="0"/>
            <w:tcW w:w="2006" w:type="dxa"/>
            <w:shd w:val="clear" w:color="auto" w:fill="DBE5F1" w:themeFill="accent1" w:themeFillTint="33"/>
            <w:vAlign w:val="center"/>
          </w:tcPr>
          <w:p w14:paraId="39764EAB" w14:textId="77777777" w:rsidR="00AD42E6" w:rsidRPr="00921483" w:rsidRDefault="00AD42E6" w:rsidP="0000030D">
            <w:pPr>
              <w:jc w:val="center"/>
              <w:rPr>
                <w:rFonts w:cstheme="minorHAnsi"/>
              </w:rPr>
            </w:pPr>
            <w:r w:rsidRPr="00921483">
              <w:rPr>
                <w:rFonts w:cstheme="minorHAnsi"/>
              </w:rPr>
              <w:t>Step 1 – 4</w:t>
            </w:r>
          </w:p>
        </w:tc>
        <w:tc>
          <w:tcPr>
            <w:tcW w:w="2007" w:type="dxa"/>
            <w:shd w:val="clear" w:color="auto" w:fill="DBE5F1" w:themeFill="accent1" w:themeFillTint="33"/>
            <w:vAlign w:val="center"/>
          </w:tcPr>
          <w:p w14:paraId="0AB4D090" w14:textId="77777777" w:rsidR="00AD42E6" w:rsidRPr="00921483" w:rsidRDefault="00AD42E6" w:rsidP="0000030D">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921483">
              <w:rPr>
                <w:rFonts w:cstheme="minorHAnsi"/>
              </w:rPr>
              <w:t>Exceeds Expectations</w:t>
            </w:r>
          </w:p>
        </w:tc>
        <w:tc>
          <w:tcPr>
            <w:tcW w:w="2006" w:type="dxa"/>
            <w:shd w:val="clear" w:color="auto" w:fill="DBE5F1" w:themeFill="accent1" w:themeFillTint="33"/>
            <w:vAlign w:val="center"/>
          </w:tcPr>
          <w:p w14:paraId="55B1E101" w14:textId="77777777" w:rsidR="00AD42E6" w:rsidRPr="00921483" w:rsidRDefault="00AD42E6" w:rsidP="0000030D">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921483">
              <w:rPr>
                <w:rFonts w:cstheme="minorHAnsi"/>
              </w:rPr>
              <w:t>4.0000 – 4.2499</w:t>
            </w:r>
          </w:p>
        </w:tc>
        <w:tc>
          <w:tcPr>
            <w:tcW w:w="2007" w:type="dxa"/>
            <w:shd w:val="clear" w:color="auto" w:fill="DBE5F1" w:themeFill="accent1" w:themeFillTint="33"/>
            <w:vAlign w:val="center"/>
          </w:tcPr>
          <w:p w14:paraId="2411C226" w14:textId="77777777" w:rsidR="00AD42E6" w:rsidRPr="00921483" w:rsidRDefault="00AD42E6" w:rsidP="0000030D">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921483">
              <w:rPr>
                <w:rFonts w:cstheme="minorHAnsi"/>
              </w:rPr>
              <w:t>Above-Standard Performance or higher</w:t>
            </w:r>
          </w:p>
        </w:tc>
        <w:tc>
          <w:tcPr>
            <w:tcW w:w="2007" w:type="dxa"/>
            <w:shd w:val="clear" w:color="auto" w:fill="DBE5F1" w:themeFill="accent1" w:themeFillTint="33"/>
            <w:vAlign w:val="center"/>
          </w:tcPr>
          <w:p w14:paraId="5851FD07" w14:textId="77777777" w:rsidR="00AD42E6" w:rsidRPr="00921483" w:rsidRDefault="00AD42E6" w:rsidP="0000030D">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921483">
              <w:rPr>
                <w:rFonts w:cstheme="minorHAnsi"/>
              </w:rPr>
              <w:t>One or More Steps</w:t>
            </w:r>
          </w:p>
        </w:tc>
      </w:tr>
      <w:tr w:rsidR="00AD42E6" w14:paraId="6FDDE0C8" w14:textId="77777777" w:rsidTr="0000030D">
        <w:trPr>
          <w:cnfStyle w:val="000000100000" w:firstRow="0" w:lastRow="0" w:firstColumn="0" w:lastColumn="0" w:oddVBand="0" w:evenVBand="0" w:oddHBand="1" w:evenHBand="0" w:firstRowFirstColumn="0" w:firstRowLastColumn="0" w:lastRowFirstColumn="0" w:lastRowLastColumn="0"/>
          <w:cantSplit/>
          <w:trHeight w:val="828"/>
        </w:trPr>
        <w:tc>
          <w:tcPr>
            <w:cnfStyle w:val="001000000000" w:firstRow="0" w:lastRow="0" w:firstColumn="1" w:lastColumn="0" w:oddVBand="0" w:evenVBand="0" w:oddHBand="0" w:evenHBand="0" w:firstRowFirstColumn="0" w:firstRowLastColumn="0" w:lastRowFirstColumn="0" w:lastRowLastColumn="0"/>
            <w:tcW w:w="2006" w:type="dxa"/>
            <w:shd w:val="clear" w:color="auto" w:fill="FFFFFF" w:themeFill="background1"/>
            <w:vAlign w:val="center"/>
          </w:tcPr>
          <w:p w14:paraId="21DF3B00" w14:textId="77777777" w:rsidR="00AD42E6" w:rsidRPr="00921483" w:rsidRDefault="00AD42E6" w:rsidP="0000030D">
            <w:pPr>
              <w:jc w:val="center"/>
              <w:rPr>
                <w:rFonts w:cstheme="minorHAnsi"/>
              </w:rPr>
            </w:pPr>
            <w:r w:rsidRPr="00921483">
              <w:rPr>
                <w:rFonts w:cstheme="minorHAnsi"/>
              </w:rPr>
              <w:t>Step 5 – 7</w:t>
            </w:r>
          </w:p>
        </w:tc>
        <w:tc>
          <w:tcPr>
            <w:tcW w:w="2007" w:type="dxa"/>
            <w:shd w:val="clear" w:color="auto" w:fill="FFFFFF" w:themeFill="background1"/>
            <w:vAlign w:val="center"/>
          </w:tcPr>
          <w:p w14:paraId="0BE73882"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Exceeds Expectations</w:t>
            </w:r>
          </w:p>
        </w:tc>
        <w:tc>
          <w:tcPr>
            <w:tcW w:w="2006" w:type="dxa"/>
            <w:shd w:val="clear" w:color="auto" w:fill="FFFFFF" w:themeFill="background1"/>
            <w:vAlign w:val="center"/>
          </w:tcPr>
          <w:p w14:paraId="406F8DF8"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4.0000 – 4.2499</w:t>
            </w:r>
          </w:p>
        </w:tc>
        <w:tc>
          <w:tcPr>
            <w:tcW w:w="2007" w:type="dxa"/>
            <w:shd w:val="clear" w:color="auto" w:fill="FFFFFF" w:themeFill="background1"/>
            <w:vAlign w:val="center"/>
          </w:tcPr>
          <w:p w14:paraId="12A64C85"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Above-Standard Performance or higher</w:t>
            </w:r>
          </w:p>
        </w:tc>
        <w:tc>
          <w:tcPr>
            <w:tcW w:w="2007" w:type="dxa"/>
            <w:shd w:val="clear" w:color="auto" w:fill="FFFFFF" w:themeFill="background1"/>
            <w:vAlign w:val="center"/>
          </w:tcPr>
          <w:p w14:paraId="10D25399"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One or More Steps</w:t>
            </w:r>
          </w:p>
        </w:tc>
      </w:tr>
      <w:tr w:rsidR="00AD42E6" w14:paraId="1C9F3393" w14:textId="77777777" w:rsidTr="0000030D">
        <w:trPr>
          <w:cnfStyle w:val="000000010000" w:firstRow="0" w:lastRow="0" w:firstColumn="0" w:lastColumn="0" w:oddVBand="0" w:evenVBand="0" w:oddHBand="0" w:evenHBand="1" w:firstRowFirstColumn="0" w:firstRowLastColumn="0" w:lastRowFirstColumn="0" w:lastRowLastColumn="0"/>
          <w:cantSplit/>
          <w:trHeight w:val="269"/>
        </w:trPr>
        <w:tc>
          <w:tcPr>
            <w:cnfStyle w:val="001000000000" w:firstRow="0" w:lastRow="0" w:firstColumn="1" w:lastColumn="0" w:oddVBand="0" w:evenVBand="0" w:oddHBand="0" w:evenHBand="0" w:firstRowFirstColumn="0" w:firstRowLastColumn="0" w:lastRowFirstColumn="0" w:lastRowLastColumn="0"/>
            <w:tcW w:w="10036" w:type="dxa"/>
            <w:gridSpan w:val="5"/>
            <w:shd w:val="clear" w:color="auto" w:fill="FFFFFF" w:themeFill="background1"/>
            <w:vAlign w:val="center"/>
          </w:tcPr>
          <w:p w14:paraId="2E054E72" w14:textId="77777777" w:rsidR="00AD42E6" w:rsidRPr="00921483" w:rsidRDefault="00AD42E6" w:rsidP="00AD42E6">
            <w:pPr>
              <w:pStyle w:val="ListParagraph"/>
              <w:numPr>
                <w:ilvl w:val="0"/>
                <w:numId w:val="3"/>
              </w:numPr>
              <w:ind w:hanging="180"/>
              <w:rPr>
                <w:rFonts w:cstheme="minorHAnsi"/>
                <w:b w:val="0"/>
              </w:rPr>
            </w:pPr>
            <w:r w:rsidRPr="00921483">
              <w:rPr>
                <w:rFonts w:cstheme="minorHAnsi"/>
                <w:b w:val="0"/>
              </w:rPr>
              <w:t>Employees can move from step 5 to 6; or 6 to 7; or step 7 to 8 with Exceeds Expectation or higher performance</w:t>
            </w:r>
          </w:p>
        </w:tc>
      </w:tr>
      <w:tr w:rsidR="00AD42E6" w14:paraId="2F497725" w14:textId="77777777" w:rsidTr="0000030D">
        <w:trPr>
          <w:cnfStyle w:val="000000100000" w:firstRow="0" w:lastRow="0" w:firstColumn="0" w:lastColumn="0" w:oddVBand="0" w:evenVBand="0" w:oddHBand="1" w:evenHBand="0" w:firstRowFirstColumn="0" w:firstRowLastColumn="0" w:lastRowFirstColumn="0" w:lastRowLastColumn="0"/>
          <w:cantSplit/>
          <w:trHeight w:val="633"/>
        </w:trPr>
        <w:tc>
          <w:tcPr>
            <w:cnfStyle w:val="001000000000" w:firstRow="0" w:lastRow="0" w:firstColumn="1" w:lastColumn="0" w:oddVBand="0" w:evenVBand="0" w:oddHBand="0" w:evenHBand="0" w:firstRowFirstColumn="0" w:firstRowLastColumn="0" w:lastRowFirstColumn="0" w:lastRowLastColumn="0"/>
            <w:tcW w:w="2006" w:type="dxa"/>
            <w:shd w:val="clear" w:color="auto" w:fill="DBE5F1" w:themeFill="accent1" w:themeFillTint="33"/>
            <w:vAlign w:val="center"/>
          </w:tcPr>
          <w:p w14:paraId="228A3ECF" w14:textId="77777777" w:rsidR="00AD42E6" w:rsidRPr="00921483" w:rsidRDefault="00AD42E6" w:rsidP="0000030D">
            <w:pPr>
              <w:jc w:val="center"/>
              <w:rPr>
                <w:rFonts w:cstheme="minorHAnsi"/>
              </w:rPr>
            </w:pPr>
            <w:r w:rsidRPr="00921483">
              <w:rPr>
                <w:rFonts w:cstheme="minorHAnsi"/>
              </w:rPr>
              <w:t>Step 8 – 9</w:t>
            </w:r>
          </w:p>
        </w:tc>
        <w:tc>
          <w:tcPr>
            <w:tcW w:w="2007" w:type="dxa"/>
            <w:shd w:val="clear" w:color="auto" w:fill="DBE5F1" w:themeFill="accent1" w:themeFillTint="33"/>
            <w:vAlign w:val="center"/>
          </w:tcPr>
          <w:p w14:paraId="2C984BB7"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High Performance</w:t>
            </w:r>
          </w:p>
        </w:tc>
        <w:tc>
          <w:tcPr>
            <w:tcW w:w="2006" w:type="dxa"/>
            <w:shd w:val="clear" w:color="auto" w:fill="DBE5F1" w:themeFill="accent1" w:themeFillTint="33"/>
            <w:vAlign w:val="center"/>
          </w:tcPr>
          <w:p w14:paraId="699D6E04"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4.2500 – 5.0000</w:t>
            </w:r>
          </w:p>
        </w:tc>
        <w:tc>
          <w:tcPr>
            <w:tcW w:w="2007" w:type="dxa"/>
            <w:shd w:val="clear" w:color="auto" w:fill="DBE5F1" w:themeFill="accent1" w:themeFillTint="33"/>
            <w:vAlign w:val="center"/>
          </w:tcPr>
          <w:p w14:paraId="579274AE"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Outstanding Performance</w:t>
            </w:r>
          </w:p>
        </w:tc>
        <w:tc>
          <w:tcPr>
            <w:tcW w:w="2007" w:type="dxa"/>
            <w:shd w:val="clear" w:color="auto" w:fill="DBE5F1" w:themeFill="accent1" w:themeFillTint="33"/>
            <w:vAlign w:val="center"/>
          </w:tcPr>
          <w:p w14:paraId="28932043"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Single Step</w:t>
            </w:r>
          </w:p>
        </w:tc>
      </w:tr>
      <w:tr w:rsidR="00AD42E6" w14:paraId="4D995204" w14:textId="77777777" w:rsidTr="0000030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10036" w:type="dxa"/>
            <w:gridSpan w:val="5"/>
            <w:tcBorders>
              <w:bottom w:val="single" w:sz="8" w:space="0" w:color="78C0D4" w:themeColor="accent5" w:themeTint="BF"/>
            </w:tcBorders>
            <w:shd w:val="clear" w:color="auto" w:fill="FFFFFF" w:themeFill="background1"/>
            <w:vAlign w:val="center"/>
          </w:tcPr>
          <w:p w14:paraId="306C80E3" w14:textId="77777777" w:rsidR="00AD42E6" w:rsidRPr="00921483" w:rsidRDefault="00AD42E6" w:rsidP="00AD42E6">
            <w:pPr>
              <w:pStyle w:val="ListParagraph"/>
              <w:numPr>
                <w:ilvl w:val="0"/>
                <w:numId w:val="3"/>
              </w:numPr>
              <w:ind w:hanging="180"/>
              <w:rPr>
                <w:rFonts w:cstheme="minorHAnsi"/>
                <w:b w:val="0"/>
              </w:rPr>
            </w:pPr>
            <w:r w:rsidRPr="00921483">
              <w:rPr>
                <w:rFonts w:cstheme="minorHAnsi"/>
                <w:b w:val="0"/>
              </w:rPr>
              <w:t>Moving from step 8 to 9; or from step 9 to 10 requires High Performance Rating</w:t>
            </w:r>
          </w:p>
        </w:tc>
      </w:tr>
      <w:tr w:rsidR="00AD42E6" w14:paraId="08DA9E4F" w14:textId="77777777" w:rsidTr="0000030D">
        <w:trPr>
          <w:cnfStyle w:val="000000100000" w:firstRow="0" w:lastRow="0" w:firstColumn="0" w:lastColumn="0" w:oddVBand="0" w:evenVBand="0" w:oddHBand="1" w:evenHBand="0" w:firstRowFirstColumn="0" w:firstRowLastColumn="0" w:lastRowFirstColumn="0" w:lastRowLastColumn="0"/>
          <w:cantSplit/>
          <w:trHeight w:val="650"/>
        </w:trPr>
        <w:tc>
          <w:tcPr>
            <w:cnfStyle w:val="001000000000" w:firstRow="0" w:lastRow="0" w:firstColumn="1" w:lastColumn="0" w:oddVBand="0" w:evenVBand="0" w:oddHBand="0" w:evenHBand="0" w:firstRowFirstColumn="0" w:firstRowLastColumn="0" w:lastRowFirstColumn="0" w:lastRowLastColumn="0"/>
            <w:tcW w:w="2006" w:type="dxa"/>
            <w:shd w:val="clear" w:color="auto" w:fill="DBE5F1" w:themeFill="accent1" w:themeFillTint="33"/>
            <w:vAlign w:val="center"/>
          </w:tcPr>
          <w:p w14:paraId="0DEC3D38" w14:textId="77777777" w:rsidR="00AD42E6" w:rsidRPr="00921483" w:rsidRDefault="00AD42E6" w:rsidP="0000030D">
            <w:pPr>
              <w:jc w:val="center"/>
              <w:rPr>
                <w:rFonts w:cstheme="minorHAnsi"/>
              </w:rPr>
            </w:pPr>
            <w:r w:rsidRPr="00921483">
              <w:rPr>
                <w:rFonts w:cstheme="minorHAnsi"/>
              </w:rPr>
              <w:t xml:space="preserve">Step 10 </w:t>
            </w:r>
          </w:p>
          <w:p w14:paraId="3AF5580C" w14:textId="77777777" w:rsidR="00AD42E6" w:rsidRPr="00921483" w:rsidRDefault="00AD42E6" w:rsidP="0000030D">
            <w:pPr>
              <w:jc w:val="center"/>
              <w:rPr>
                <w:rFonts w:cstheme="minorHAnsi"/>
              </w:rPr>
            </w:pPr>
            <w:r w:rsidRPr="00921483">
              <w:rPr>
                <w:rFonts w:cstheme="minorHAnsi"/>
              </w:rPr>
              <w:t>(</w:t>
            </w:r>
            <w:proofErr w:type="gramStart"/>
            <w:r w:rsidRPr="00921483">
              <w:rPr>
                <w:rFonts w:cstheme="minorHAnsi"/>
              </w:rPr>
              <w:t>or</w:t>
            </w:r>
            <w:proofErr w:type="gramEnd"/>
            <w:r w:rsidRPr="00921483">
              <w:rPr>
                <w:rFonts w:cstheme="minorHAnsi"/>
              </w:rPr>
              <w:t xml:space="preserve"> MOT)</w:t>
            </w:r>
          </w:p>
        </w:tc>
        <w:tc>
          <w:tcPr>
            <w:tcW w:w="2007" w:type="dxa"/>
            <w:shd w:val="clear" w:color="auto" w:fill="DBE5F1" w:themeFill="accent1" w:themeFillTint="33"/>
            <w:vAlign w:val="center"/>
          </w:tcPr>
          <w:p w14:paraId="713FA1DE"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High Performance</w:t>
            </w:r>
          </w:p>
        </w:tc>
        <w:tc>
          <w:tcPr>
            <w:tcW w:w="2006" w:type="dxa"/>
            <w:shd w:val="clear" w:color="auto" w:fill="DBE5F1" w:themeFill="accent1" w:themeFillTint="33"/>
            <w:vAlign w:val="center"/>
          </w:tcPr>
          <w:p w14:paraId="3131B5DD"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4.2500 – 5.0000</w:t>
            </w:r>
          </w:p>
        </w:tc>
        <w:tc>
          <w:tcPr>
            <w:tcW w:w="2007" w:type="dxa"/>
            <w:shd w:val="clear" w:color="auto" w:fill="DBE5F1" w:themeFill="accent1" w:themeFillTint="33"/>
            <w:vAlign w:val="center"/>
          </w:tcPr>
          <w:p w14:paraId="5B1AAEA2"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Outstanding Performance</w:t>
            </w:r>
          </w:p>
        </w:tc>
        <w:tc>
          <w:tcPr>
            <w:tcW w:w="2007" w:type="dxa"/>
            <w:shd w:val="clear" w:color="auto" w:fill="DBE5F1" w:themeFill="accent1" w:themeFillTint="33"/>
            <w:vAlign w:val="center"/>
          </w:tcPr>
          <w:p w14:paraId="29AA6467" w14:textId="77777777" w:rsidR="00AD42E6" w:rsidRPr="00921483" w:rsidRDefault="00AD42E6" w:rsidP="000003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21483">
              <w:rPr>
                <w:rFonts w:cstheme="minorHAnsi"/>
              </w:rPr>
              <w:t>Up to 5%</w:t>
            </w:r>
          </w:p>
        </w:tc>
      </w:tr>
      <w:tr w:rsidR="00AD42E6" w14:paraId="30E040BB" w14:textId="77777777" w:rsidTr="0000030D">
        <w:trPr>
          <w:cnfStyle w:val="000000010000" w:firstRow="0" w:lastRow="0" w:firstColumn="0" w:lastColumn="0" w:oddVBand="0" w:evenVBand="0" w:oddHBand="0" w:evenHBand="1" w:firstRowFirstColumn="0" w:firstRowLastColumn="0" w:lastRowFirstColumn="0" w:lastRowLastColumn="0"/>
          <w:cantSplit/>
          <w:trHeight w:val="489"/>
        </w:trPr>
        <w:tc>
          <w:tcPr>
            <w:cnfStyle w:val="001000000000" w:firstRow="0" w:lastRow="0" w:firstColumn="1" w:lastColumn="0" w:oddVBand="0" w:evenVBand="0" w:oddHBand="0" w:evenHBand="0" w:firstRowFirstColumn="0" w:firstRowLastColumn="0" w:lastRowFirstColumn="0" w:lastRowLastColumn="0"/>
            <w:tcW w:w="10036" w:type="dxa"/>
            <w:gridSpan w:val="5"/>
            <w:shd w:val="clear" w:color="auto" w:fill="FFFFFF" w:themeFill="background1"/>
            <w:vAlign w:val="center"/>
          </w:tcPr>
          <w:p w14:paraId="45F7FCD6" w14:textId="1AA1047F" w:rsidR="00AD42E6" w:rsidRPr="00921483" w:rsidRDefault="00AD42E6" w:rsidP="00AD42E6">
            <w:pPr>
              <w:pStyle w:val="ListParagraph"/>
              <w:numPr>
                <w:ilvl w:val="0"/>
                <w:numId w:val="6"/>
              </w:numPr>
              <w:ind w:left="720" w:hanging="180"/>
              <w:rPr>
                <w:rFonts w:cstheme="minorHAnsi"/>
                <w:b w:val="0"/>
              </w:rPr>
            </w:pPr>
            <w:r w:rsidRPr="00921483">
              <w:rPr>
                <w:rFonts w:cstheme="minorHAnsi"/>
                <w:b w:val="0"/>
              </w:rPr>
              <w:t>Merit increases above step 10 (or top step) require that the employee be at the top step for two consecutive years and score outstanding (high performance) both years. To maintain that above step 10 rating, the employee must be continuously outstanding in performance for the entire rating period.</w:t>
            </w:r>
          </w:p>
          <w:p w14:paraId="55AB8A2A" w14:textId="77777777" w:rsidR="00AD42E6" w:rsidRPr="00921483" w:rsidRDefault="00AD42E6" w:rsidP="00AD42E6">
            <w:pPr>
              <w:pStyle w:val="ListParagraph"/>
              <w:numPr>
                <w:ilvl w:val="0"/>
                <w:numId w:val="4"/>
              </w:numPr>
              <w:ind w:left="1080" w:hanging="180"/>
              <w:rPr>
                <w:rFonts w:cstheme="minorHAnsi"/>
              </w:rPr>
            </w:pPr>
            <w:r w:rsidRPr="00921483">
              <w:rPr>
                <w:rFonts w:cstheme="minorHAnsi"/>
                <w:b w:val="0"/>
              </w:rPr>
              <w:t>Employee must be at top step two years prior to the effective date of the merit-over-top. By example, an employee must have been at step 10 effective 1/1/2015 to be eligible for merit-over-top effective 1/1/2017.</w:t>
            </w:r>
          </w:p>
        </w:tc>
      </w:tr>
    </w:tbl>
    <w:p w14:paraId="262006C0" w14:textId="77777777" w:rsidR="00AD42E6" w:rsidRPr="006961B6" w:rsidRDefault="00AD42E6" w:rsidP="00AD42E6">
      <w:pPr>
        <w:spacing w:before="120" w:after="60"/>
        <w:rPr>
          <w:rFonts w:cstheme="minorHAnsi"/>
        </w:rPr>
      </w:pPr>
      <w:r>
        <w:rPr>
          <w:rFonts w:cstheme="minorHAnsi"/>
        </w:rPr>
        <w:t>For employees currently at s</w:t>
      </w:r>
      <w:r w:rsidRPr="006961B6">
        <w:rPr>
          <w:rFonts w:cstheme="minorHAnsi"/>
        </w:rPr>
        <w:t xml:space="preserve">tep 10, King County Code 13.15.020(3) further provides for Merit over Top (MOT). The appointing authority </w:t>
      </w:r>
      <w:proofErr w:type="gramStart"/>
      <w:r w:rsidRPr="006961B6">
        <w:rPr>
          <w:rFonts w:cstheme="minorHAnsi"/>
        </w:rPr>
        <w:t>has the ability to</w:t>
      </w:r>
      <w:proofErr w:type="gramEnd"/>
      <w:r w:rsidRPr="006961B6">
        <w:rPr>
          <w:rFonts w:cstheme="minorHAnsi"/>
        </w:rPr>
        <w:t xml:space="preserve"> grant MOT of 2.5% or 5% above the top step of the range for a period of 12 months if </w:t>
      </w:r>
      <w:r w:rsidRPr="006961B6">
        <w:rPr>
          <w:rFonts w:cstheme="minorHAnsi"/>
          <w:u w:val="single"/>
        </w:rPr>
        <w:t>all</w:t>
      </w:r>
      <w:r w:rsidRPr="006961B6">
        <w:rPr>
          <w:rFonts w:cstheme="minorHAnsi"/>
        </w:rPr>
        <w:t xml:space="preserve"> the following conditions are met:</w:t>
      </w:r>
    </w:p>
    <w:p w14:paraId="35AFABCC" w14:textId="77777777" w:rsidR="00AD42E6" w:rsidRPr="001C7F37" w:rsidRDefault="00AD42E6" w:rsidP="00AD42E6">
      <w:pPr>
        <w:pStyle w:val="ListParagraph"/>
        <w:numPr>
          <w:ilvl w:val="0"/>
          <w:numId w:val="1"/>
        </w:numPr>
        <w:spacing w:after="360" w:line="240" w:lineRule="auto"/>
        <w:ind w:left="540" w:hanging="180"/>
      </w:pPr>
      <w:r w:rsidRPr="001C7F37">
        <w:t xml:space="preserve">The employee is not a </w:t>
      </w:r>
      <w:r>
        <w:t>D</w:t>
      </w:r>
      <w:r w:rsidRPr="001C7F37">
        <w:t xml:space="preserve">epartment </w:t>
      </w:r>
      <w:r>
        <w:t>D</w:t>
      </w:r>
      <w:r w:rsidRPr="001C7F37">
        <w:t xml:space="preserve">irector; </w:t>
      </w:r>
      <w:r>
        <w:rPr>
          <w:rFonts w:ascii="Calibri" w:eastAsia="Calibri" w:hAnsi="Calibri" w:cs="Calibri"/>
          <w:color w:val="000000" w:themeColor="text1"/>
        </w:rPr>
        <w:t>D</w:t>
      </w:r>
      <w:r w:rsidRPr="001C7F37">
        <w:rPr>
          <w:rFonts w:ascii="Calibri" w:eastAsia="Calibri" w:hAnsi="Calibri" w:cs="Calibri"/>
          <w:color w:val="000000" w:themeColor="text1"/>
        </w:rPr>
        <w:t xml:space="preserve">epartment </w:t>
      </w:r>
      <w:r>
        <w:rPr>
          <w:rFonts w:ascii="Calibri" w:eastAsia="Calibri" w:hAnsi="Calibri" w:cs="Calibri"/>
          <w:color w:val="000000" w:themeColor="text1"/>
        </w:rPr>
        <w:t>D</w:t>
      </w:r>
      <w:r w:rsidRPr="001C7F37">
        <w:rPr>
          <w:rFonts w:ascii="Calibri" w:eastAsia="Calibri" w:hAnsi="Calibri" w:cs="Calibri"/>
          <w:color w:val="000000" w:themeColor="text1"/>
        </w:rPr>
        <w:t xml:space="preserve">irectors, as well as other Appointed leaders (including Division Directors and Deputies) are covered by the merit pay system, but are not eligible for merit increases </w:t>
      </w:r>
      <w:proofErr w:type="gramStart"/>
      <w:r w:rsidRPr="001C7F37">
        <w:rPr>
          <w:rFonts w:ascii="Calibri" w:eastAsia="Calibri" w:hAnsi="Calibri" w:cs="Calibri"/>
          <w:color w:val="000000" w:themeColor="text1"/>
        </w:rPr>
        <w:t>over Step</w:t>
      </w:r>
      <w:proofErr w:type="gramEnd"/>
      <w:r w:rsidRPr="001C7F37">
        <w:rPr>
          <w:rFonts w:ascii="Calibri" w:eastAsia="Calibri" w:hAnsi="Calibri" w:cs="Calibri"/>
          <w:color w:val="000000" w:themeColor="text1"/>
        </w:rPr>
        <w:t xml:space="preserve"> 10.</w:t>
      </w:r>
    </w:p>
    <w:p w14:paraId="2F5E85DB" w14:textId="77777777" w:rsidR="00AD42E6" w:rsidRPr="001C7F37" w:rsidRDefault="00AD42E6" w:rsidP="00AD42E6">
      <w:pPr>
        <w:pStyle w:val="ListParagraph"/>
        <w:numPr>
          <w:ilvl w:val="0"/>
          <w:numId w:val="1"/>
        </w:numPr>
        <w:spacing w:after="0" w:line="240" w:lineRule="auto"/>
        <w:ind w:left="540" w:hanging="180"/>
      </w:pPr>
      <w:r w:rsidRPr="001C7F37">
        <w:t>The employee has been at the top step of the prior or current range for two years before the award of the increase; and</w:t>
      </w:r>
    </w:p>
    <w:p w14:paraId="5841E6BE" w14:textId="77777777" w:rsidR="00AD42E6" w:rsidRPr="00FB606B" w:rsidRDefault="00AD42E6" w:rsidP="00AD42E6">
      <w:pPr>
        <w:pStyle w:val="Default"/>
        <w:numPr>
          <w:ilvl w:val="0"/>
          <w:numId w:val="1"/>
        </w:numPr>
        <w:ind w:left="540" w:hanging="180"/>
        <w:rPr>
          <w:rFonts w:asciiTheme="minorHAnsi" w:hAnsiTheme="minorHAnsi" w:cstheme="minorHAnsi"/>
          <w:sz w:val="22"/>
          <w:szCs w:val="22"/>
        </w:rPr>
      </w:pPr>
      <w:r w:rsidRPr="001C7F37">
        <w:rPr>
          <w:rFonts w:asciiTheme="minorHAnsi" w:hAnsiTheme="minorHAnsi"/>
          <w:sz w:val="22"/>
          <w:szCs w:val="22"/>
        </w:rPr>
        <w:t xml:space="preserve">The employee has demonstrated continuous outstanding performance (EPAS = High Performance) </w:t>
      </w:r>
      <w:r w:rsidRPr="001C7F37">
        <w:rPr>
          <w:rFonts w:asciiTheme="minorHAnsi" w:hAnsiTheme="minorHAnsi" w:cstheme="minorHAnsi"/>
          <w:sz w:val="22"/>
          <w:szCs w:val="22"/>
        </w:rPr>
        <w:t>throughout</w:t>
      </w:r>
      <w:r w:rsidRPr="00FB606B">
        <w:rPr>
          <w:rFonts w:asciiTheme="minorHAnsi" w:hAnsiTheme="minorHAnsi" w:cstheme="minorHAnsi"/>
          <w:sz w:val="22"/>
          <w:szCs w:val="22"/>
        </w:rPr>
        <w:t xml:space="preserve"> the rating period.</w:t>
      </w:r>
    </w:p>
    <w:p w14:paraId="733DEC19" w14:textId="5EF0F047" w:rsidR="00AD42E6" w:rsidRDefault="00AD42E6" w:rsidP="00AD42E6">
      <w:pPr>
        <w:pStyle w:val="ListParagraph"/>
        <w:numPr>
          <w:ilvl w:val="0"/>
          <w:numId w:val="7"/>
        </w:numPr>
        <w:spacing w:after="60" w:line="240" w:lineRule="auto"/>
        <w:ind w:left="908" w:hanging="274"/>
        <w:contextualSpacing w:val="0"/>
        <w:rPr>
          <w:rFonts w:cstheme="minorHAnsi"/>
        </w:rPr>
      </w:pPr>
      <w:r w:rsidRPr="00FB606B">
        <w:rPr>
          <w:rFonts w:cstheme="minorHAnsi"/>
        </w:rPr>
        <w:t xml:space="preserve">Employees are required to receive a High Performance (Outstanding) rating to receive and “re-earn” merit-over-top each year. If an employee has previously earned merit-over-top in their position, and </w:t>
      </w:r>
      <w:r w:rsidRPr="00FB606B">
        <w:rPr>
          <w:rFonts w:cstheme="minorHAnsi"/>
        </w:rPr>
        <w:lastRenderedPageBreak/>
        <w:t>then scores below High Performance for a review year, the employee will lose their merit-over-top for that merit year. If the employee then completes a following review year with a High Performance, the employee is not required to wait two years to “re-earn” merit.</w:t>
      </w:r>
    </w:p>
    <w:p w14:paraId="5C3EB054" w14:textId="41005F22" w:rsidR="00AD42E6" w:rsidRPr="00FB606B" w:rsidRDefault="00AD42E6" w:rsidP="00AD42E6">
      <w:pPr>
        <w:pStyle w:val="ListParagraph"/>
        <w:spacing w:after="60" w:line="240" w:lineRule="auto"/>
        <w:ind w:left="908"/>
        <w:contextualSpacing w:val="0"/>
        <w:rPr>
          <w:rFonts w:cstheme="minorHAnsi"/>
        </w:rPr>
      </w:pPr>
    </w:p>
    <w:p w14:paraId="6D8B71D6" w14:textId="398A1B68" w:rsidR="009D2124" w:rsidRPr="009D2124" w:rsidRDefault="00AD42E6" w:rsidP="00AD42E6">
      <w:pPr>
        <w:spacing w:after="0" w:line="240" w:lineRule="auto"/>
        <w:rPr>
          <w:rFonts w:ascii="Calibri" w:hAnsi="Calibri"/>
          <w:b/>
        </w:rPr>
      </w:pPr>
      <w:r w:rsidRPr="00FB606B">
        <w:rPr>
          <w:rFonts w:cstheme="minorHAnsi"/>
          <w:b/>
          <w:i/>
        </w:rPr>
        <w:t xml:space="preserve">Eligibility for movement through salary range and merit-over-top are superseded by union contract(s). </w:t>
      </w:r>
      <w:r>
        <w:rPr>
          <w:rFonts w:cstheme="minorHAnsi"/>
          <w:b/>
          <w:i/>
        </w:rPr>
        <w:br/>
      </w:r>
      <w:r w:rsidRPr="00A6073A">
        <w:rPr>
          <w:rFonts w:ascii="Calibri" w:hAnsi="Calibri"/>
          <w:b/>
        </w:rPr>
        <w:t>Please consult the appropriate union contract regarding performance appraisals and step increases.</w:t>
      </w:r>
    </w:p>
    <w:sectPr w:rsidR="009D2124" w:rsidRPr="009D2124" w:rsidSect="00D33991">
      <w:headerReference w:type="default" r:id="rId12"/>
      <w:footerReference w:type="default" r:id="rId13"/>
      <w:pgSz w:w="12240" w:h="15840"/>
      <w:pgMar w:top="720" w:right="864"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CDD6" w14:textId="77777777" w:rsidR="00975B95" w:rsidRDefault="00975B95" w:rsidP="008C7146">
      <w:pPr>
        <w:spacing w:after="0" w:line="240" w:lineRule="auto"/>
      </w:pPr>
      <w:r>
        <w:separator/>
      </w:r>
    </w:p>
  </w:endnote>
  <w:endnote w:type="continuationSeparator" w:id="0">
    <w:p w14:paraId="2E545CB8" w14:textId="77777777" w:rsidR="00975B95" w:rsidRDefault="00975B95" w:rsidP="008C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554845"/>
      <w:docPartObj>
        <w:docPartGallery w:val="Page Numbers (Bottom of Page)"/>
        <w:docPartUnique/>
      </w:docPartObj>
    </w:sdtPr>
    <w:sdtEndPr/>
    <w:sdtContent>
      <w:sdt>
        <w:sdtPr>
          <w:id w:val="2108313826"/>
          <w:docPartObj>
            <w:docPartGallery w:val="Page Numbers (Top of Page)"/>
            <w:docPartUnique/>
          </w:docPartObj>
        </w:sdtPr>
        <w:sdtEndPr/>
        <w:sdtContent>
          <w:p w14:paraId="5FEE824A" w14:textId="77777777" w:rsidR="009D2124" w:rsidRDefault="00F8376E" w:rsidP="009D2124">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301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014C">
              <w:rPr>
                <w:b/>
                <w:bCs/>
                <w:noProof/>
              </w:rPr>
              <w:t>2</w:t>
            </w:r>
            <w:r>
              <w:rPr>
                <w:b/>
                <w:bCs/>
                <w:sz w:val="24"/>
                <w:szCs w:val="24"/>
              </w:rPr>
              <w:fldChar w:fldCharType="end"/>
            </w:r>
            <w:r w:rsidR="009D2124">
              <w:rPr>
                <w:b/>
                <w:bCs/>
                <w:sz w:val="24"/>
                <w:szCs w:val="24"/>
              </w:rPr>
              <w:t xml:space="preserve"> </w:t>
            </w:r>
          </w:p>
          <w:p w14:paraId="68785DD1" w14:textId="4F817A38" w:rsidR="00F8376E" w:rsidRPr="009D2124" w:rsidRDefault="009D2124" w:rsidP="009D2124">
            <w:pPr>
              <w:pStyle w:val="Footer"/>
            </w:pPr>
            <w:r w:rsidRPr="009D2124">
              <w:rPr>
                <w:sz w:val="24"/>
                <w:szCs w:val="24"/>
              </w:rPr>
              <w:t>17-Aug-22</w:t>
            </w:r>
          </w:p>
        </w:sdtContent>
      </w:sdt>
    </w:sdtContent>
  </w:sdt>
  <w:p w14:paraId="6CB40C71" w14:textId="77777777" w:rsidR="00F8376E" w:rsidRDefault="00F8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5BB8" w14:textId="77777777" w:rsidR="00975B95" w:rsidRDefault="00975B95" w:rsidP="008C7146">
      <w:pPr>
        <w:spacing w:after="0" w:line="240" w:lineRule="auto"/>
      </w:pPr>
      <w:r>
        <w:separator/>
      </w:r>
    </w:p>
  </w:footnote>
  <w:footnote w:type="continuationSeparator" w:id="0">
    <w:p w14:paraId="185CF029" w14:textId="77777777" w:rsidR="00975B95" w:rsidRDefault="00975B95" w:rsidP="008C7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D045" w14:textId="77777777" w:rsidR="00772334" w:rsidRDefault="00772334" w:rsidP="00772334">
    <w:pPr>
      <w:spacing w:after="0"/>
      <w:rPr>
        <w:rFonts w:cstheme="minorHAnsi"/>
        <w:b/>
        <w:sz w:val="28"/>
        <w:szCs w:val="24"/>
      </w:rPr>
    </w:pPr>
    <w:r>
      <w:rPr>
        <w:noProof/>
      </w:rPr>
      <w:drawing>
        <wp:inline distT="0" distB="0" distL="0" distR="0" wp14:anchorId="0CAEE33F" wp14:editId="2C50AB19">
          <wp:extent cx="519379" cy="356809"/>
          <wp:effectExtent l="0" t="0" r="0" b="5715"/>
          <wp:docPr id="1079" name="Picture 50"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 name="Picture 50"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875" cy="358524"/>
                  </a:xfrm>
                  <a:prstGeom prst="rect">
                    <a:avLst/>
                  </a:prstGeom>
                  <a:noFill/>
                  <a:ln>
                    <a:noFill/>
                  </a:ln>
                </pic:spPr>
              </pic:pic>
            </a:graphicData>
          </a:graphic>
        </wp:inline>
      </w:drawing>
    </w:r>
    <w:r>
      <w:rPr>
        <w:rFonts w:cstheme="minorHAnsi"/>
        <w:b/>
        <w:sz w:val="24"/>
        <w:szCs w:val="24"/>
      </w:rPr>
      <w:t xml:space="preserve">    </w:t>
    </w:r>
    <w:r w:rsidRPr="007E303E">
      <w:rPr>
        <w:rFonts w:cstheme="minorHAnsi"/>
        <w:b/>
        <w:sz w:val="28"/>
        <w:szCs w:val="24"/>
      </w:rPr>
      <w:t>EPAS PERFORMANCE APPRAISAL AND COMPENSATION CROSSWALK</w:t>
    </w:r>
  </w:p>
  <w:p w14:paraId="034C8DA9" w14:textId="77777777" w:rsidR="00772334" w:rsidRDefault="00772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616E"/>
    <w:multiLevelType w:val="hybridMultilevel"/>
    <w:tmpl w:val="EB641C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1069CE"/>
    <w:multiLevelType w:val="hybridMultilevel"/>
    <w:tmpl w:val="8580077A"/>
    <w:lvl w:ilvl="0" w:tplc="ECA65058">
      <w:start w:val="4"/>
      <w:numFmt w:val="bullet"/>
      <w:lvlText w:val="-"/>
      <w:lvlJc w:val="left"/>
      <w:pPr>
        <w:ind w:left="3330" w:hanging="360"/>
      </w:pPr>
      <w:rPr>
        <w:rFonts w:ascii="Calibri" w:eastAsiaTheme="minorEastAsia"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9F2AF2"/>
    <w:multiLevelType w:val="hybridMultilevel"/>
    <w:tmpl w:val="5366EE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0261D4"/>
    <w:multiLevelType w:val="hybridMultilevel"/>
    <w:tmpl w:val="F0CA2DE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4D9A658E"/>
    <w:multiLevelType w:val="hybridMultilevel"/>
    <w:tmpl w:val="2BC44D8C"/>
    <w:lvl w:ilvl="0" w:tplc="FBFEF93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DC54BE"/>
    <w:multiLevelType w:val="hybridMultilevel"/>
    <w:tmpl w:val="A5B46A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70141010"/>
    <w:multiLevelType w:val="hybridMultilevel"/>
    <w:tmpl w:val="CF5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663E3"/>
    <w:multiLevelType w:val="hybridMultilevel"/>
    <w:tmpl w:val="7A0E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46"/>
    <w:rsid w:val="0001061B"/>
    <w:rsid w:val="00134DB8"/>
    <w:rsid w:val="001F3007"/>
    <w:rsid w:val="001F6B00"/>
    <w:rsid w:val="002768A0"/>
    <w:rsid w:val="002835EB"/>
    <w:rsid w:val="00377616"/>
    <w:rsid w:val="00574854"/>
    <w:rsid w:val="0070492B"/>
    <w:rsid w:val="00772334"/>
    <w:rsid w:val="00776AED"/>
    <w:rsid w:val="007E303E"/>
    <w:rsid w:val="007E7641"/>
    <w:rsid w:val="00830A2E"/>
    <w:rsid w:val="008625DD"/>
    <w:rsid w:val="008C7146"/>
    <w:rsid w:val="00936ABA"/>
    <w:rsid w:val="00975B95"/>
    <w:rsid w:val="009D2124"/>
    <w:rsid w:val="00AD42E6"/>
    <w:rsid w:val="00B92C29"/>
    <w:rsid w:val="00D33991"/>
    <w:rsid w:val="00D72832"/>
    <w:rsid w:val="00D8006D"/>
    <w:rsid w:val="00D91946"/>
    <w:rsid w:val="00DB0B16"/>
    <w:rsid w:val="00E3014C"/>
    <w:rsid w:val="00E54F35"/>
    <w:rsid w:val="00F8376E"/>
    <w:rsid w:val="00F95E1E"/>
    <w:rsid w:val="00FC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C7376"/>
  <w15:docId w15:val="{F98EF4A5-DA90-4277-B295-06F770F3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8C7146"/>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Footer">
    <w:name w:val="footer"/>
    <w:basedOn w:val="Normal"/>
    <w:link w:val="FooterChar"/>
    <w:uiPriority w:val="99"/>
    <w:unhideWhenUsed/>
    <w:rsid w:val="008C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46"/>
    <w:rPr>
      <w:rFonts w:eastAsiaTheme="minorEastAsia"/>
    </w:rPr>
  </w:style>
  <w:style w:type="paragraph" w:customStyle="1" w:styleId="Default">
    <w:name w:val="Default"/>
    <w:rsid w:val="008C7146"/>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8C7146"/>
    <w:pPr>
      <w:ind w:left="720"/>
      <w:contextualSpacing/>
    </w:pPr>
  </w:style>
  <w:style w:type="paragraph" w:styleId="BalloonText">
    <w:name w:val="Balloon Text"/>
    <w:basedOn w:val="Normal"/>
    <w:link w:val="BalloonTextChar"/>
    <w:uiPriority w:val="99"/>
    <w:semiHidden/>
    <w:unhideWhenUsed/>
    <w:rsid w:val="008C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46"/>
    <w:rPr>
      <w:rFonts w:ascii="Tahoma" w:eastAsiaTheme="minorEastAsia" w:hAnsi="Tahoma" w:cs="Tahoma"/>
      <w:sz w:val="16"/>
      <w:szCs w:val="16"/>
    </w:rPr>
  </w:style>
  <w:style w:type="paragraph" w:styleId="Header">
    <w:name w:val="header"/>
    <w:basedOn w:val="Normal"/>
    <w:link w:val="HeaderChar"/>
    <w:uiPriority w:val="99"/>
    <w:unhideWhenUsed/>
    <w:rsid w:val="008C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4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708A4B-99D1-4474-A035-51A6C42D42BC}" type="doc">
      <dgm:prSet loTypeId="urn:microsoft.com/office/officeart/2005/8/layout/chevron1" loCatId="process" qsTypeId="urn:microsoft.com/office/officeart/2005/8/quickstyle/simple1" qsCatId="simple" csTypeId="urn:microsoft.com/office/officeart/2005/8/colors/accent1_2" csCatId="accent1" phldr="1"/>
      <dgm:spPr/>
    </dgm:pt>
    <dgm:pt modelId="{1387D27B-664A-4EAC-A6B8-5D7EA4A1B5C4}">
      <dgm:prSet phldrT="[Text]"/>
      <dgm:spPr/>
      <dgm:t>
        <a:bodyPr/>
        <a:lstStyle/>
        <a:p>
          <a:r>
            <a:rPr lang="en-US"/>
            <a:t>If an employee is currently at this step</a:t>
          </a:r>
        </a:p>
      </dgm:t>
    </dgm:pt>
    <dgm:pt modelId="{AAC4B131-A816-49B2-9128-419C31AA5CDF}" type="parTrans" cxnId="{48ACF4A4-A0A3-4BE3-8C0E-0EE8442DD217}">
      <dgm:prSet/>
      <dgm:spPr/>
      <dgm:t>
        <a:bodyPr/>
        <a:lstStyle/>
        <a:p>
          <a:endParaRPr lang="en-US"/>
        </a:p>
      </dgm:t>
    </dgm:pt>
    <dgm:pt modelId="{F94FB879-FBB7-473E-B169-E1FF0141C62E}" type="sibTrans" cxnId="{48ACF4A4-A0A3-4BE3-8C0E-0EE8442DD217}">
      <dgm:prSet/>
      <dgm:spPr/>
      <dgm:t>
        <a:bodyPr/>
        <a:lstStyle/>
        <a:p>
          <a:endParaRPr lang="en-US"/>
        </a:p>
      </dgm:t>
    </dgm:pt>
    <dgm:pt modelId="{100F2821-CDB0-4474-992A-38EE89963363}">
      <dgm:prSet phldrT="[Text]"/>
      <dgm:spPr/>
      <dgm:t>
        <a:bodyPr/>
        <a:lstStyle/>
        <a:p>
          <a:r>
            <a:rPr lang="en-US"/>
            <a:t>And receives one of these ratings</a:t>
          </a:r>
        </a:p>
      </dgm:t>
    </dgm:pt>
    <dgm:pt modelId="{352D31BC-E604-446C-8741-85D809E25A77}" type="parTrans" cxnId="{AFC53AB5-19AF-4862-8701-E1F530AA83EA}">
      <dgm:prSet/>
      <dgm:spPr/>
      <dgm:t>
        <a:bodyPr/>
        <a:lstStyle/>
        <a:p>
          <a:endParaRPr lang="en-US"/>
        </a:p>
      </dgm:t>
    </dgm:pt>
    <dgm:pt modelId="{8979BD9A-A16F-45CE-B563-B44E593B010F}" type="sibTrans" cxnId="{AFC53AB5-19AF-4862-8701-E1F530AA83EA}">
      <dgm:prSet/>
      <dgm:spPr/>
      <dgm:t>
        <a:bodyPr/>
        <a:lstStyle/>
        <a:p>
          <a:endParaRPr lang="en-US"/>
        </a:p>
      </dgm:t>
    </dgm:pt>
    <dgm:pt modelId="{D49D362A-34DE-4DA3-8D02-7783B73C0B21}">
      <dgm:prSet phldrT="[Text]"/>
      <dgm:spPr/>
      <dgm:t>
        <a:bodyPr/>
        <a:lstStyle/>
        <a:p>
          <a:r>
            <a:rPr lang="en-US"/>
            <a:t>The employee can earn this</a:t>
          </a:r>
        </a:p>
      </dgm:t>
    </dgm:pt>
    <dgm:pt modelId="{59C3463B-661B-4FC1-8AE3-A7E42A9C417D}" type="parTrans" cxnId="{B59A3C95-5015-46D7-A9CD-C4DD1C02F738}">
      <dgm:prSet/>
      <dgm:spPr/>
      <dgm:t>
        <a:bodyPr/>
        <a:lstStyle/>
        <a:p>
          <a:endParaRPr lang="en-US"/>
        </a:p>
      </dgm:t>
    </dgm:pt>
    <dgm:pt modelId="{E2C43E43-F3B5-4585-B325-2CB3013F714A}" type="sibTrans" cxnId="{B59A3C95-5015-46D7-A9CD-C4DD1C02F738}">
      <dgm:prSet/>
      <dgm:spPr/>
      <dgm:t>
        <a:bodyPr/>
        <a:lstStyle/>
        <a:p>
          <a:endParaRPr lang="en-US"/>
        </a:p>
      </dgm:t>
    </dgm:pt>
    <dgm:pt modelId="{776C9FA1-E58F-40A8-9746-272605C019C9}" type="pres">
      <dgm:prSet presAssocID="{BD708A4B-99D1-4474-A035-51A6C42D42BC}" presName="Name0" presStyleCnt="0">
        <dgm:presLayoutVars>
          <dgm:dir/>
          <dgm:animLvl val="lvl"/>
          <dgm:resizeHandles val="exact"/>
        </dgm:presLayoutVars>
      </dgm:prSet>
      <dgm:spPr/>
    </dgm:pt>
    <dgm:pt modelId="{89BF0C06-288E-47F2-A726-4276ECA8F0AF}" type="pres">
      <dgm:prSet presAssocID="{1387D27B-664A-4EAC-A6B8-5D7EA4A1B5C4}" presName="parTxOnly" presStyleLbl="node1" presStyleIdx="0" presStyleCnt="3" custScaleX="54478" custLinFactNeighborX="-36457">
        <dgm:presLayoutVars>
          <dgm:chMax val="0"/>
          <dgm:chPref val="0"/>
          <dgm:bulletEnabled val="1"/>
        </dgm:presLayoutVars>
      </dgm:prSet>
      <dgm:spPr/>
    </dgm:pt>
    <dgm:pt modelId="{B27A19F0-ED4F-4D81-9377-FBF62983E590}" type="pres">
      <dgm:prSet presAssocID="{F94FB879-FBB7-473E-B169-E1FF0141C62E}" presName="parTxOnlySpace" presStyleCnt="0"/>
      <dgm:spPr/>
    </dgm:pt>
    <dgm:pt modelId="{689D9A73-E487-44A2-BFF4-A57F8C2BD5B9}" type="pres">
      <dgm:prSet presAssocID="{100F2821-CDB0-4474-992A-38EE89963363}" presName="parTxOnly" presStyleLbl="node1" presStyleIdx="1" presStyleCnt="3" custScaleX="128695">
        <dgm:presLayoutVars>
          <dgm:chMax val="0"/>
          <dgm:chPref val="0"/>
          <dgm:bulletEnabled val="1"/>
        </dgm:presLayoutVars>
      </dgm:prSet>
      <dgm:spPr/>
    </dgm:pt>
    <dgm:pt modelId="{65D0E17A-7E2D-449B-9F61-7D1DE926C19C}" type="pres">
      <dgm:prSet presAssocID="{8979BD9A-A16F-45CE-B563-B44E593B010F}" presName="parTxOnlySpace" presStyleCnt="0"/>
      <dgm:spPr/>
    </dgm:pt>
    <dgm:pt modelId="{8C6E78F6-62ED-4EA8-BEFE-9D8705CCAC65}" type="pres">
      <dgm:prSet presAssocID="{D49D362A-34DE-4DA3-8D02-7783B73C0B21}" presName="parTxOnly" presStyleLbl="node1" presStyleIdx="2" presStyleCnt="3" custScaleX="49386">
        <dgm:presLayoutVars>
          <dgm:chMax val="0"/>
          <dgm:chPref val="0"/>
          <dgm:bulletEnabled val="1"/>
        </dgm:presLayoutVars>
      </dgm:prSet>
      <dgm:spPr/>
    </dgm:pt>
  </dgm:ptLst>
  <dgm:cxnLst>
    <dgm:cxn modelId="{78A52F32-D6BD-440E-BACF-3F7A15BC1EE2}" type="presOf" srcId="{D49D362A-34DE-4DA3-8D02-7783B73C0B21}" destId="{8C6E78F6-62ED-4EA8-BEFE-9D8705CCAC65}" srcOrd="0" destOrd="0" presId="urn:microsoft.com/office/officeart/2005/8/layout/chevron1"/>
    <dgm:cxn modelId="{0EBE1B52-DD96-43B0-998B-E9FADAA13315}" type="presOf" srcId="{100F2821-CDB0-4474-992A-38EE89963363}" destId="{689D9A73-E487-44A2-BFF4-A57F8C2BD5B9}" srcOrd="0" destOrd="0" presId="urn:microsoft.com/office/officeart/2005/8/layout/chevron1"/>
    <dgm:cxn modelId="{B59A3C95-5015-46D7-A9CD-C4DD1C02F738}" srcId="{BD708A4B-99D1-4474-A035-51A6C42D42BC}" destId="{D49D362A-34DE-4DA3-8D02-7783B73C0B21}" srcOrd="2" destOrd="0" parTransId="{59C3463B-661B-4FC1-8AE3-A7E42A9C417D}" sibTransId="{E2C43E43-F3B5-4585-B325-2CB3013F714A}"/>
    <dgm:cxn modelId="{48ACF4A4-A0A3-4BE3-8C0E-0EE8442DD217}" srcId="{BD708A4B-99D1-4474-A035-51A6C42D42BC}" destId="{1387D27B-664A-4EAC-A6B8-5D7EA4A1B5C4}" srcOrd="0" destOrd="0" parTransId="{AAC4B131-A816-49B2-9128-419C31AA5CDF}" sibTransId="{F94FB879-FBB7-473E-B169-E1FF0141C62E}"/>
    <dgm:cxn modelId="{AFC53AB5-19AF-4862-8701-E1F530AA83EA}" srcId="{BD708A4B-99D1-4474-A035-51A6C42D42BC}" destId="{100F2821-CDB0-4474-992A-38EE89963363}" srcOrd="1" destOrd="0" parTransId="{352D31BC-E604-446C-8741-85D809E25A77}" sibTransId="{8979BD9A-A16F-45CE-B563-B44E593B010F}"/>
    <dgm:cxn modelId="{ED02B1D5-EC4E-412C-B71E-C09DD46AF675}" type="presOf" srcId="{BD708A4B-99D1-4474-A035-51A6C42D42BC}" destId="{776C9FA1-E58F-40A8-9746-272605C019C9}" srcOrd="0" destOrd="0" presId="urn:microsoft.com/office/officeart/2005/8/layout/chevron1"/>
    <dgm:cxn modelId="{4183E7DB-F254-41F5-9398-9FC2DB022106}" type="presOf" srcId="{1387D27B-664A-4EAC-A6B8-5D7EA4A1B5C4}" destId="{89BF0C06-288E-47F2-A726-4276ECA8F0AF}" srcOrd="0" destOrd="0" presId="urn:microsoft.com/office/officeart/2005/8/layout/chevron1"/>
    <dgm:cxn modelId="{A45BD0E2-0C04-4503-9442-2EB6C42BB7D5}" type="presParOf" srcId="{776C9FA1-E58F-40A8-9746-272605C019C9}" destId="{89BF0C06-288E-47F2-A726-4276ECA8F0AF}" srcOrd="0" destOrd="0" presId="urn:microsoft.com/office/officeart/2005/8/layout/chevron1"/>
    <dgm:cxn modelId="{D9611F99-93A9-46D4-9A20-111F96F6D976}" type="presParOf" srcId="{776C9FA1-E58F-40A8-9746-272605C019C9}" destId="{B27A19F0-ED4F-4D81-9377-FBF62983E590}" srcOrd="1" destOrd="0" presId="urn:microsoft.com/office/officeart/2005/8/layout/chevron1"/>
    <dgm:cxn modelId="{6B22613A-70B6-4389-A866-1F5A72CF026E}" type="presParOf" srcId="{776C9FA1-E58F-40A8-9746-272605C019C9}" destId="{689D9A73-E487-44A2-BFF4-A57F8C2BD5B9}" srcOrd="2" destOrd="0" presId="urn:microsoft.com/office/officeart/2005/8/layout/chevron1"/>
    <dgm:cxn modelId="{551808FC-E96B-45B1-9486-B23DD19E402E}" type="presParOf" srcId="{776C9FA1-E58F-40A8-9746-272605C019C9}" destId="{65D0E17A-7E2D-449B-9F61-7D1DE926C19C}" srcOrd="3" destOrd="0" presId="urn:microsoft.com/office/officeart/2005/8/layout/chevron1"/>
    <dgm:cxn modelId="{C2978BD2-C8FC-45F0-9AEE-AFDBFEF073A5}" type="presParOf" srcId="{776C9FA1-E58F-40A8-9746-272605C019C9}" destId="{8C6E78F6-62ED-4EA8-BEFE-9D8705CCAC65}" srcOrd="4"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BF0C06-288E-47F2-A726-4276ECA8F0AF}">
      <dsp:nvSpPr>
        <dsp:cNvPr id="0" name=""/>
        <dsp:cNvSpPr/>
      </dsp:nvSpPr>
      <dsp:spPr>
        <a:xfrm>
          <a:off x="0" y="0"/>
          <a:ext cx="1639652" cy="60350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If an employee is currently at this step</a:t>
          </a:r>
        </a:p>
      </dsp:txBody>
      <dsp:txXfrm>
        <a:off x="301752" y="0"/>
        <a:ext cx="1036148" cy="603504"/>
      </dsp:txXfrm>
    </dsp:sp>
    <dsp:sp modelId="{689D9A73-E487-44A2-BFF4-A57F8C2BD5B9}">
      <dsp:nvSpPr>
        <dsp:cNvPr id="0" name=""/>
        <dsp:cNvSpPr/>
      </dsp:nvSpPr>
      <dsp:spPr>
        <a:xfrm>
          <a:off x="1340328" y="0"/>
          <a:ext cx="3873399" cy="60350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And receives one of these ratings</a:t>
          </a:r>
        </a:p>
      </dsp:txBody>
      <dsp:txXfrm>
        <a:off x="1642080" y="0"/>
        <a:ext cx="3269895" cy="603504"/>
      </dsp:txXfrm>
    </dsp:sp>
    <dsp:sp modelId="{8C6E78F6-62ED-4EA8-BEFE-9D8705CCAC65}">
      <dsp:nvSpPr>
        <dsp:cNvPr id="0" name=""/>
        <dsp:cNvSpPr/>
      </dsp:nvSpPr>
      <dsp:spPr>
        <a:xfrm>
          <a:off x="4912752" y="0"/>
          <a:ext cx="1486395" cy="60350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The employee can earn this</a:t>
          </a:r>
        </a:p>
      </dsp:txBody>
      <dsp:txXfrm>
        <a:off x="5214504" y="0"/>
        <a:ext cx="882891" cy="6035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Stephens</dc:creator>
  <cp:lastModifiedBy>Klipsch, Tedd</cp:lastModifiedBy>
  <cp:revision>2</cp:revision>
  <dcterms:created xsi:type="dcterms:W3CDTF">2022-08-17T23:59:00Z</dcterms:created>
  <dcterms:modified xsi:type="dcterms:W3CDTF">2022-08-17T23:59:00Z</dcterms:modified>
</cp:coreProperties>
</file>