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6C84CDDB"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1A38A4">
        <w:rPr>
          <w:rFonts w:cstheme="minorHAnsi"/>
          <w:b/>
          <w:bCs/>
          <w:i/>
          <w:color w:val="538135" w:themeColor="accent6" w:themeShade="BF"/>
          <w:sz w:val="24"/>
          <w:szCs w:val="24"/>
        </w:rPr>
        <w:t>June 27</w:t>
      </w:r>
      <w:r w:rsidR="001A38A4" w:rsidRPr="001A38A4">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619FF082"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102021">
        <w:rPr>
          <w:b/>
          <w:bCs/>
          <w:i/>
          <w:color w:val="0070C0"/>
          <w:sz w:val="24"/>
          <w:szCs w:val="24"/>
        </w:rPr>
        <w:t>Melody</w:t>
      </w:r>
      <w:r w:rsidR="009C1747">
        <w:rPr>
          <w:b/>
          <w:bCs/>
          <w:i/>
          <w:color w:val="0070C0"/>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3CB3016" w:rsidR="00BB7A1E" w:rsidRDefault="00E83E0E" w:rsidP="001A1609">
      <w:pPr>
        <w:tabs>
          <w:tab w:val="left" w:pos="5040"/>
          <w:tab w:val="right" w:pos="9270"/>
        </w:tabs>
        <w:rPr>
          <w:bCs/>
          <w:i/>
          <w:color w:val="7030A0"/>
          <w:sz w:val="24"/>
          <w:szCs w:val="24"/>
        </w:rPr>
      </w:pPr>
      <w:r>
        <w:rPr>
          <w:iCs/>
          <w:sz w:val="24"/>
          <w:szCs w:val="24"/>
        </w:rPr>
        <w:t xml:space="preserve"> </w:t>
      </w:r>
      <w:r w:rsidR="00641AF6"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051CEDA5" w14:textId="102D50A1" w:rsidR="00CC1C85" w:rsidRDefault="00CC1C85" w:rsidP="001A1609">
      <w:pPr>
        <w:tabs>
          <w:tab w:val="left" w:pos="5040"/>
          <w:tab w:val="right" w:pos="9270"/>
        </w:tabs>
        <w:rPr>
          <w:bCs/>
          <w:i/>
          <w:color w:val="7030A0"/>
          <w:sz w:val="24"/>
          <w:szCs w:val="24"/>
        </w:rPr>
      </w:pPr>
      <w:r>
        <w:rPr>
          <w:bCs/>
          <w:i/>
          <w:color w:val="7030A0"/>
          <w:sz w:val="24"/>
          <w:szCs w:val="24"/>
        </w:rPr>
        <w:t>Family Youth Professional Partnership</w:t>
      </w:r>
      <w:r w:rsidR="00B85111">
        <w:rPr>
          <w:bCs/>
          <w:i/>
          <w:color w:val="7030A0"/>
          <w:sz w:val="24"/>
          <w:szCs w:val="24"/>
        </w:rPr>
        <w:t xml:space="preserve"> Gathering</w:t>
      </w:r>
      <w:r>
        <w:rPr>
          <w:bCs/>
          <w:i/>
          <w:color w:val="7030A0"/>
          <w:sz w:val="24"/>
          <w:szCs w:val="24"/>
        </w:rPr>
        <w:t xml:space="preserve"> – Event planning</w:t>
      </w:r>
      <w:r w:rsidR="00C31596">
        <w:rPr>
          <w:bCs/>
          <w:i/>
          <w:color w:val="7030A0"/>
          <w:sz w:val="24"/>
          <w:szCs w:val="24"/>
        </w:rPr>
        <w:t xml:space="preserve"> </w:t>
      </w:r>
    </w:p>
    <w:p w14:paraId="21979108" w14:textId="43FEBDD6" w:rsidR="00B85111" w:rsidRDefault="00E83E0E" w:rsidP="001A1609">
      <w:pPr>
        <w:tabs>
          <w:tab w:val="left" w:pos="5040"/>
          <w:tab w:val="right" w:pos="9270"/>
        </w:tabs>
        <w:rPr>
          <w:bCs/>
          <w:i/>
          <w:color w:val="7030A0"/>
          <w:sz w:val="24"/>
          <w:szCs w:val="24"/>
        </w:rPr>
      </w:pPr>
      <w:r>
        <w:rPr>
          <w:bCs/>
          <w:iCs/>
          <w:sz w:val="24"/>
          <w:szCs w:val="24"/>
        </w:rPr>
        <w:t xml:space="preserve"> </w:t>
      </w:r>
      <w:r w:rsidR="00B85111">
        <w:rPr>
          <w:bCs/>
          <w:i/>
          <w:color w:val="7030A0"/>
          <w:sz w:val="24"/>
          <w:szCs w:val="24"/>
        </w:rPr>
        <w:t xml:space="preserve">Follow up – KC WISe referrals from CLIP </w:t>
      </w:r>
      <w:r w:rsidR="00F15BCE">
        <w:rPr>
          <w:bCs/>
          <w:i/>
          <w:color w:val="7030A0"/>
          <w:sz w:val="24"/>
          <w:szCs w:val="24"/>
        </w:rPr>
        <w:t>discharges</w:t>
      </w:r>
    </w:p>
    <w:p w14:paraId="450F52A7" w14:textId="1EC5A07F" w:rsidR="00B6658E" w:rsidRDefault="00E83E0E" w:rsidP="00D1748E">
      <w:pPr>
        <w:tabs>
          <w:tab w:val="left" w:pos="5040"/>
          <w:tab w:val="right" w:pos="9270"/>
        </w:tabs>
        <w:rPr>
          <w:b/>
          <w:i/>
          <w:color w:val="0070C0"/>
          <w:sz w:val="24"/>
          <w:szCs w:val="24"/>
        </w:rPr>
      </w:pPr>
      <w:r>
        <w:rPr>
          <w:bCs/>
          <w:iCs/>
          <w:sz w:val="24"/>
          <w:szCs w:val="24"/>
        </w:rPr>
        <w:t xml:space="preserve"> </w:t>
      </w:r>
      <w:r w:rsidR="00C36D58">
        <w:rPr>
          <w:b/>
          <w:i/>
          <w:color w:val="C45911" w:themeColor="accent2" w:themeShade="BF"/>
          <w:sz w:val="24"/>
          <w:szCs w:val="24"/>
        </w:rPr>
        <w:t>Presentation:</w:t>
      </w:r>
      <w:r w:rsidR="00C36D58" w:rsidRPr="003E27C8">
        <w:rPr>
          <w:b/>
          <w:i/>
          <w:color w:val="0070C0"/>
          <w:sz w:val="24"/>
          <w:szCs w:val="24"/>
        </w:rPr>
        <w:t xml:space="preserve"> </w:t>
      </w:r>
      <w:r w:rsidR="004F7772">
        <w:rPr>
          <w:b/>
          <w:i/>
          <w:color w:val="0070C0"/>
          <w:sz w:val="24"/>
          <w:szCs w:val="24"/>
        </w:rPr>
        <w:t xml:space="preserve"> </w:t>
      </w:r>
      <w:r w:rsidR="0034689A">
        <w:rPr>
          <w:b/>
          <w:i/>
          <w:color w:val="0070C0"/>
          <w:sz w:val="24"/>
          <w:szCs w:val="24"/>
        </w:rPr>
        <w:t>Happy Pride Month! – KC3</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36403B6F" w14:textId="77777777" w:rsidR="00005479" w:rsidRDefault="00430491" w:rsidP="00C36D58">
      <w:pPr>
        <w:tabs>
          <w:tab w:val="left" w:pos="5040"/>
          <w:tab w:val="right" w:pos="9270"/>
        </w:tabs>
        <w:spacing w:after="0"/>
        <w:rPr>
          <w:bCs/>
          <w:i/>
          <w:color w:val="1F3864" w:themeColor="accent5" w:themeShade="80"/>
          <w:sz w:val="24"/>
          <w:szCs w:val="24"/>
        </w:rPr>
      </w:pPr>
      <w:r w:rsidRPr="00C36D58">
        <w:rPr>
          <w:bCs/>
          <w:i/>
          <w:color w:val="1F3864" w:themeColor="accent5" w:themeShade="80"/>
          <w:sz w:val="24"/>
          <w:szCs w:val="24"/>
        </w:rPr>
        <w:t>WSC</w:t>
      </w:r>
      <w:r w:rsidR="00005479">
        <w:rPr>
          <w:bCs/>
          <w:i/>
          <w:color w:val="1F3864" w:themeColor="accent5" w:themeShade="80"/>
          <w:sz w:val="24"/>
          <w:szCs w:val="24"/>
        </w:rPr>
        <w:t>C</w:t>
      </w:r>
    </w:p>
    <w:p w14:paraId="14E0D910" w14:textId="76FEB0A2" w:rsidR="00641AF6" w:rsidRPr="00005479" w:rsidRDefault="003A3A88" w:rsidP="00C36D58">
      <w:pPr>
        <w:tabs>
          <w:tab w:val="left" w:pos="5040"/>
          <w:tab w:val="right" w:pos="9270"/>
        </w:tabs>
        <w:spacing w:after="0"/>
        <w:rPr>
          <w:b/>
          <w:iCs/>
          <w:color w:val="000000" w:themeColor="text1"/>
          <w:sz w:val="24"/>
          <w:szCs w:val="24"/>
        </w:rPr>
      </w:pPr>
      <w:r w:rsidRPr="00005479">
        <w:rPr>
          <w:b/>
          <w:iCs/>
          <w:color w:val="000000" w:themeColor="text1"/>
          <w:sz w:val="24"/>
          <w:szCs w:val="24"/>
        </w:rPr>
        <w:tab/>
      </w:r>
      <w:r w:rsidR="003D5C65" w:rsidRPr="00005479">
        <w:rPr>
          <w:b/>
          <w:iCs/>
          <w:color w:val="000000" w:themeColor="text1"/>
          <w:sz w:val="24"/>
          <w:szCs w:val="24"/>
        </w:rPr>
        <w:tab/>
      </w:r>
      <w:r w:rsidR="003531CA" w:rsidRPr="00005479">
        <w:rPr>
          <w:iCs/>
          <w:color w:val="000000" w:themeColor="text1"/>
          <w:sz w:val="24"/>
          <w:szCs w:val="24"/>
        </w:rPr>
        <w:tab/>
      </w:r>
      <w:r w:rsidR="003531CA" w:rsidRPr="00005479">
        <w:rPr>
          <w:iCs/>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452C068C" w:rsidR="003E27C8" w:rsidRDefault="003E27C8" w:rsidP="00C36D58">
      <w:pPr>
        <w:tabs>
          <w:tab w:val="left" w:pos="5040"/>
          <w:tab w:val="right" w:pos="9270"/>
        </w:tabs>
        <w:spacing w:after="0"/>
        <w:rPr>
          <w:b/>
          <w:i/>
          <w:color w:val="7030A0"/>
          <w:sz w:val="24"/>
          <w:szCs w:val="24"/>
        </w:rPr>
      </w:pPr>
      <w:r w:rsidRPr="003E27C8">
        <w:rPr>
          <w:b/>
          <w:i/>
          <w:color w:val="7030A0"/>
          <w:sz w:val="24"/>
          <w:szCs w:val="24"/>
        </w:rPr>
        <w:t>Needs Assessment / Workplan</w:t>
      </w:r>
      <w:r w:rsidR="00102021">
        <w:rPr>
          <w:b/>
          <w:i/>
          <w:color w:val="7030A0"/>
          <w:sz w:val="24"/>
          <w:szCs w:val="24"/>
        </w:rPr>
        <w:t xml:space="preserve"> – Reworking our goals (prioritizing areas of focus)</w:t>
      </w:r>
    </w:p>
    <w:p w14:paraId="348477E3" w14:textId="5662FC9D" w:rsidR="00AC771A" w:rsidRDefault="00641AF6" w:rsidP="00C36D58">
      <w:pPr>
        <w:tabs>
          <w:tab w:val="left" w:pos="5040"/>
          <w:tab w:val="right" w:pos="9270"/>
        </w:tabs>
        <w:spacing w:after="0"/>
        <w:rPr>
          <w:i/>
          <w:color w:val="0070C0"/>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3A76BBCA"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p>
    <w:p w14:paraId="1AD563C7" w14:textId="7E85EFCB" w:rsidR="00EF4CD9" w:rsidRDefault="00F72F57"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C3B0326">
            <wp:simplePos x="0" y="0"/>
            <wp:positionH relativeFrom="margin">
              <wp:align>center</wp:align>
            </wp:positionH>
            <wp:positionV relativeFrom="paragraph">
              <wp:posOffset>262699</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63B"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w:t>
      </w:r>
      <w:r w:rsidR="001A38A4">
        <w:rPr>
          <w:i/>
          <w:color w:val="538135" w:themeColor="accent6" w:themeShade="BF"/>
          <w:sz w:val="24"/>
          <w:szCs w:val="24"/>
        </w:rPr>
        <w:t>uly 25</w:t>
      </w:r>
      <w:r w:rsidR="001A38A4" w:rsidRPr="001A38A4">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734D4637" w14:textId="77777777" w:rsidR="00E83E0E" w:rsidRDefault="00E83E0E" w:rsidP="00EF4CD9">
      <w:pPr>
        <w:tabs>
          <w:tab w:val="left" w:pos="5040"/>
          <w:tab w:val="right" w:pos="9270"/>
        </w:tabs>
        <w:jc w:val="center"/>
        <w:rPr>
          <w:i/>
          <w:color w:val="538135" w:themeColor="accent6" w:themeShade="BF"/>
          <w:sz w:val="24"/>
          <w:szCs w:val="24"/>
        </w:rPr>
      </w:pPr>
    </w:p>
    <w:p w14:paraId="45C237C9" w14:textId="450091EF" w:rsidR="00EF4CD9" w:rsidRDefault="00EF4CD9" w:rsidP="00EF4CD9">
      <w:pPr>
        <w:tabs>
          <w:tab w:val="left" w:pos="5040"/>
          <w:tab w:val="right" w:pos="9270"/>
        </w:tabs>
        <w:jc w:val="center"/>
        <w:rPr>
          <w:i/>
          <w:color w:val="538135" w:themeColor="accent6" w:themeShade="BF"/>
          <w:sz w:val="24"/>
          <w:szCs w:val="24"/>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lastRenderedPageBreak/>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(i.e.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720DA44" w14:textId="344DACB7" w:rsidR="00066F02" w:rsidRDefault="00066F02" w:rsidP="001F2AC8">
      <w:pPr>
        <w:rPr>
          <w:sz w:val="32"/>
          <w:szCs w:val="32"/>
        </w:rPr>
      </w:pPr>
    </w:p>
    <w:p w14:paraId="577833FA" w14:textId="77777777" w:rsidR="00F2321B" w:rsidRDefault="00E83E0E" w:rsidP="00F2321B">
      <w:pPr>
        <w:numPr>
          <w:ilvl w:val="0"/>
          <w:numId w:val="26"/>
        </w:numPr>
        <w:rPr>
          <w:sz w:val="32"/>
          <w:szCs w:val="32"/>
        </w:rPr>
      </w:pPr>
      <w:hyperlink r:id="rId19" w:history="1">
        <w:r w:rsidR="00F2321B" w:rsidRPr="00F2321B">
          <w:rPr>
            <w:rStyle w:val="Hyperlink"/>
            <w:sz w:val="32"/>
            <w:szCs w:val="32"/>
          </w:rPr>
          <w:t>https://www.lamberthouse.org/</w:t>
        </w:r>
      </w:hyperlink>
      <w:r w:rsidR="00F2321B">
        <w:rPr>
          <w:sz w:val="32"/>
          <w:szCs w:val="32"/>
        </w:rPr>
        <w:tab/>
      </w:r>
    </w:p>
    <w:p w14:paraId="38FCE502" w14:textId="1121C466" w:rsidR="00F2321B" w:rsidRPr="00F2321B" w:rsidRDefault="00F2321B" w:rsidP="00F2321B">
      <w:pPr>
        <w:ind w:left="720"/>
        <w:rPr>
          <w:sz w:val="32"/>
          <w:szCs w:val="32"/>
        </w:rPr>
      </w:pPr>
      <w:r w:rsidRPr="00F2321B">
        <w:rPr>
          <w:sz w:val="32"/>
          <w:szCs w:val="32"/>
        </w:rPr>
        <w:t>(resources for LGBTQ+ youth and their allies)</w:t>
      </w:r>
    </w:p>
    <w:p w14:paraId="6359EBB2" w14:textId="77777777" w:rsidR="00F2321B" w:rsidRDefault="00E83E0E" w:rsidP="00F2321B">
      <w:pPr>
        <w:numPr>
          <w:ilvl w:val="0"/>
          <w:numId w:val="26"/>
        </w:numPr>
        <w:rPr>
          <w:sz w:val="32"/>
          <w:szCs w:val="32"/>
        </w:rPr>
      </w:pPr>
      <w:hyperlink r:id="rId20" w:history="1">
        <w:r w:rsidR="00F2321B" w:rsidRPr="00F2321B">
          <w:rPr>
            <w:rStyle w:val="Hyperlink"/>
            <w:sz w:val="32"/>
            <w:szCs w:val="32"/>
          </w:rPr>
          <w:t>https://www.thetrevorproject.org/</w:t>
        </w:r>
      </w:hyperlink>
      <w:r w:rsidR="00F2321B" w:rsidRPr="00F2321B">
        <w:rPr>
          <w:sz w:val="32"/>
          <w:szCs w:val="32"/>
        </w:rPr>
        <w:t xml:space="preserve"> </w:t>
      </w:r>
    </w:p>
    <w:p w14:paraId="58EA5A69" w14:textId="736E23A2" w:rsidR="00F2321B" w:rsidRPr="00F2321B" w:rsidRDefault="00F2321B" w:rsidP="00F2321B">
      <w:pPr>
        <w:ind w:left="720"/>
        <w:rPr>
          <w:sz w:val="32"/>
          <w:szCs w:val="32"/>
        </w:rPr>
      </w:pPr>
      <w:r w:rsidRPr="00F2321B">
        <w:rPr>
          <w:sz w:val="32"/>
          <w:szCs w:val="32"/>
        </w:rPr>
        <w:t>(crisis and suicide prevention for LGBTQ+ youth)</w:t>
      </w:r>
    </w:p>
    <w:p w14:paraId="3AE460CC" w14:textId="77777777" w:rsidR="00F2321B" w:rsidRDefault="00E83E0E" w:rsidP="00F2321B">
      <w:pPr>
        <w:numPr>
          <w:ilvl w:val="0"/>
          <w:numId w:val="26"/>
        </w:numPr>
        <w:rPr>
          <w:sz w:val="32"/>
          <w:szCs w:val="32"/>
        </w:rPr>
      </w:pPr>
      <w:hyperlink r:id="rId21" w:history="1">
        <w:r w:rsidR="00F2321B" w:rsidRPr="00F2321B">
          <w:rPr>
            <w:rStyle w:val="Hyperlink"/>
            <w:sz w:val="32"/>
            <w:szCs w:val="32"/>
          </w:rPr>
          <w:t>https://www.pflagseattle.org/</w:t>
        </w:r>
      </w:hyperlink>
      <w:r w:rsidR="00F2321B" w:rsidRPr="00F2321B">
        <w:rPr>
          <w:sz w:val="32"/>
          <w:szCs w:val="32"/>
        </w:rPr>
        <w:t xml:space="preserve"> </w:t>
      </w:r>
    </w:p>
    <w:p w14:paraId="319B626F" w14:textId="15034E6D" w:rsidR="00F2321B" w:rsidRPr="00F2321B" w:rsidRDefault="00F2321B" w:rsidP="00F2321B">
      <w:pPr>
        <w:ind w:left="720"/>
        <w:rPr>
          <w:sz w:val="32"/>
          <w:szCs w:val="32"/>
        </w:rPr>
      </w:pPr>
      <w:r w:rsidRPr="00F2321B">
        <w:rPr>
          <w:sz w:val="32"/>
          <w:szCs w:val="32"/>
        </w:rPr>
        <w:t>(resources for Parents and Friends of Lesbians and Gays)</w:t>
      </w:r>
    </w:p>
    <w:p w14:paraId="3E5BF5F1" w14:textId="66624A99" w:rsidR="00F2321B" w:rsidRDefault="00E83E0E" w:rsidP="00F2321B">
      <w:pPr>
        <w:numPr>
          <w:ilvl w:val="0"/>
          <w:numId w:val="26"/>
        </w:numPr>
        <w:rPr>
          <w:sz w:val="32"/>
          <w:szCs w:val="32"/>
        </w:rPr>
      </w:pPr>
      <w:hyperlink r:id="rId22" w:history="1">
        <w:r w:rsidR="00F2321B" w:rsidRPr="00F2321B">
          <w:rPr>
            <w:rStyle w:val="Hyperlink"/>
            <w:sz w:val="32"/>
            <w:szCs w:val="32"/>
          </w:rPr>
          <w:t>https://ingersollgendercenter.org/</w:t>
        </w:r>
      </w:hyperlink>
      <w:r w:rsidR="00F2321B" w:rsidRPr="00F2321B">
        <w:rPr>
          <w:sz w:val="32"/>
          <w:szCs w:val="32"/>
        </w:rPr>
        <w:t xml:space="preserve"> </w:t>
      </w:r>
    </w:p>
    <w:p w14:paraId="311C1291" w14:textId="017D48BC" w:rsidR="00F2321B" w:rsidRPr="00F2321B" w:rsidRDefault="00F2321B" w:rsidP="00F2321B">
      <w:pPr>
        <w:ind w:left="720"/>
        <w:rPr>
          <w:sz w:val="32"/>
          <w:szCs w:val="32"/>
        </w:rPr>
      </w:pPr>
      <w:r w:rsidRPr="00F2321B">
        <w:rPr>
          <w:sz w:val="32"/>
          <w:szCs w:val="32"/>
        </w:rPr>
        <w:t>(transgender and gender nonconforming supports)</w:t>
      </w:r>
    </w:p>
    <w:p w14:paraId="2AE158DB" w14:textId="77777777" w:rsidR="00F2321B" w:rsidRDefault="00E83E0E" w:rsidP="00F2321B">
      <w:pPr>
        <w:numPr>
          <w:ilvl w:val="0"/>
          <w:numId w:val="26"/>
        </w:numPr>
        <w:rPr>
          <w:sz w:val="32"/>
          <w:szCs w:val="32"/>
        </w:rPr>
      </w:pPr>
      <w:hyperlink r:id="rId23" w:history="1">
        <w:r w:rsidR="00F2321B" w:rsidRPr="00F2321B">
          <w:rPr>
            <w:rStyle w:val="Hyperlink"/>
            <w:sz w:val="32"/>
            <w:szCs w:val="32"/>
          </w:rPr>
          <w:t>https://www.glsen.org/</w:t>
        </w:r>
      </w:hyperlink>
    </w:p>
    <w:p w14:paraId="1D012124" w14:textId="693ED795" w:rsidR="00F2321B" w:rsidRPr="00F2321B" w:rsidRDefault="00F2321B" w:rsidP="00F2321B">
      <w:pPr>
        <w:ind w:left="720"/>
        <w:rPr>
          <w:sz w:val="32"/>
          <w:szCs w:val="32"/>
        </w:rPr>
      </w:pPr>
      <w:r w:rsidRPr="00F2321B">
        <w:rPr>
          <w:sz w:val="32"/>
          <w:szCs w:val="32"/>
        </w:rPr>
        <w:t>(supports for LGBTQ+ youth and school inclusion)</w:t>
      </w:r>
    </w:p>
    <w:p w14:paraId="2D2FD36F" w14:textId="77777777" w:rsidR="00F2321B" w:rsidRDefault="00E83E0E" w:rsidP="00F2321B">
      <w:pPr>
        <w:numPr>
          <w:ilvl w:val="0"/>
          <w:numId w:val="26"/>
        </w:numPr>
        <w:rPr>
          <w:sz w:val="32"/>
          <w:szCs w:val="32"/>
        </w:rPr>
      </w:pPr>
      <w:hyperlink r:id="rId24" w:history="1">
        <w:r w:rsidR="00F2321B" w:rsidRPr="00F2321B">
          <w:rPr>
            <w:rStyle w:val="Hyperlink"/>
            <w:sz w:val="32"/>
            <w:szCs w:val="32"/>
          </w:rPr>
          <w:t>https://www.mccseattle.org/</w:t>
        </w:r>
      </w:hyperlink>
      <w:r w:rsidR="00F2321B" w:rsidRPr="00F2321B">
        <w:rPr>
          <w:sz w:val="32"/>
          <w:szCs w:val="32"/>
        </w:rPr>
        <w:t xml:space="preserve"> </w:t>
      </w:r>
    </w:p>
    <w:p w14:paraId="4F611B19" w14:textId="6EEDA069" w:rsidR="00F2321B" w:rsidRPr="00F2321B" w:rsidRDefault="00F2321B" w:rsidP="00F2321B">
      <w:pPr>
        <w:ind w:left="720"/>
        <w:rPr>
          <w:sz w:val="32"/>
          <w:szCs w:val="32"/>
        </w:rPr>
      </w:pPr>
      <w:r w:rsidRPr="00F2321B">
        <w:rPr>
          <w:sz w:val="32"/>
          <w:szCs w:val="32"/>
        </w:rPr>
        <w:t>(LGBTQ+ affirming church)</w:t>
      </w:r>
    </w:p>
    <w:p w14:paraId="2D2F3E05" w14:textId="77777777" w:rsidR="00DA7CCF" w:rsidRDefault="00DA7CCF" w:rsidP="001F2AC8">
      <w:pPr>
        <w:rPr>
          <w:sz w:val="32"/>
          <w:szCs w:val="32"/>
        </w:rPr>
      </w:pPr>
    </w:p>
    <w:p w14:paraId="272705AA" w14:textId="5EC10024" w:rsidR="00F92A66" w:rsidRDefault="00DA7CCF" w:rsidP="001F2AC8">
      <w:pPr>
        <w:rPr>
          <w:sz w:val="32"/>
          <w:szCs w:val="32"/>
        </w:rPr>
      </w:pPr>
      <w:r w:rsidRPr="00DA7CCF">
        <w:rPr>
          <w:sz w:val="32"/>
          <w:szCs w:val="32"/>
        </w:rPr>
        <w:t>This Summer, get your body moving with ADEFUA in Columbia Park on every Sunday in July for FREE African Dance Classes! The park is located ay 4721 Rainier Ave S! Make sure to text 206-679-7331 to request your spot! If you are not able to dance, just bring a chair and a blanket and come enjoy the festivities! This is an amazing time to get out in the community and celebrate African arts &amp; culture!! EVERYONE IS INVITED!</w:t>
      </w:r>
    </w:p>
    <w:p w14:paraId="4AE7DD08" w14:textId="25324215" w:rsidR="00C108F2" w:rsidRDefault="00C108F2" w:rsidP="001F2AC8">
      <w:pPr>
        <w:rPr>
          <w:sz w:val="32"/>
          <w:szCs w:val="32"/>
        </w:rPr>
      </w:pPr>
      <w:r w:rsidRPr="00C108F2">
        <w:rPr>
          <w:sz w:val="32"/>
          <w:szCs w:val="32"/>
        </w:rPr>
        <w:t xml:space="preserve">WISe info        </w:t>
      </w:r>
      <w:hyperlink r:id="rId25" w:history="1">
        <w:r w:rsidRPr="00FB4921">
          <w:rPr>
            <w:rStyle w:val="Hyperlink"/>
            <w:sz w:val="32"/>
            <w:szCs w:val="32"/>
          </w:rPr>
          <w:t>https://www.hca.wa.gov/free-or-low-cost-health-care/i-need-behavioral-health-support/wraparound-intensive-services-wise</w:t>
        </w:r>
      </w:hyperlink>
    </w:p>
    <w:p w14:paraId="38A53491" w14:textId="77777777" w:rsidR="00C108F2" w:rsidRDefault="00C108F2" w:rsidP="001F2AC8">
      <w:pPr>
        <w:rPr>
          <w:sz w:val="32"/>
          <w:szCs w:val="32"/>
        </w:rPr>
      </w:pPr>
    </w:p>
    <w:p w14:paraId="454BC3DC" w14:textId="0AA5815E" w:rsidR="00C108F2" w:rsidRDefault="00C108F2" w:rsidP="001F2AC8">
      <w:pPr>
        <w:rPr>
          <w:sz w:val="32"/>
          <w:szCs w:val="32"/>
        </w:rPr>
      </w:pPr>
      <w:r w:rsidRPr="00C108F2">
        <w:rPr>
          <w:sz w:val="32"/>
          <w:szCs w:val="32"/>
        </w:rPr>
        <w:t>CLIP    https://www.hca.wa.gov/about-hca/programs-and-initiatives/behavioral-health-and-recovery/childrens-long-term-inpatient-program-clip</w:t>
      </w:r>
    </w:p>
    <w:p w14:paraId="6452E84D" w14:textId="77777777" w:rsidR="00C108F2" w:rsidRDefault="00C108F2" w:rsidP="001F2AC8">
      <w:pPr>
        <w:rPr>
          <w:sz w:val="32"/>
          <w:szCs w:val="32"/>
        </w:rPr>
      </w:pPr>
    </w:p>
    <w:p w14:paraId="579AA744" w14:textId="3C1748DC" w:rsidR="00C108F2" w:rsidRDefault="00C108F2" w:rsidP="001F2AC8">
      <w:pPr>
        <w:rPr>
          <w:sz w:val="32"/>
          <w:szCs w:val="32"/>
        </w:rPr>
      </w:pPr>
      <w:r w:rsidRPr="00C108F2">
        <w:rPr>
          <w:sz w:val="32"/>
          <w:szCs w:val="32"/>
        </w:rPr>
        <w:t xml:space="preserve">list of WISe providers in King Co: </w:t>
      </w:r>
      <w:hyperlink r:id="rId26" w:history="1">
        <w:r w:rsidRPr="00FB4921">
          <w:rPr>
            <w:rStyle w:val="Hyperlink"/>
            <w:sz w:val="32"/>
            <w:szCs w:val="32"/>
          </w:rPr>
          <w:t>https://kingcounty.gov/depts/community-human-services/mental-health-substance-abuse/services/Youth/wraparound</w:t>
        </w:r>
      </w:hyperlink>
    </w:p>
    <w:p w14:paraId="22FB0BB0" w14:textId="77777777" w:rsidR="00C108F2" w:rsidRDefault="00C108F2" w:rsidP="001F2AC8">
      <w:pPr>
        <w:rPr>
          <w:sz w:val="32"/>
          <w:szCs w:val="32"/>
        </w:rPr>
      </w:pPr>
    </w:p>
    <w:p w14:paraId="4211E433" w14:textId="3D55033C" w:rsidR="00C108F2" w:rsidRDefault="00C108F2" w:rsidP="001F2AC8">
      <w:pPr>
        <w:rPr>
          <w:sz w:val="32"/>
          <w:szCs w:val="32"/>
        </w:rPr>
      </w:pPr>
      <w:r w:rsidRPr="00C108F2">
        <w:rPr>
          <w:sz w:val="32"/>
          <w:szCs w:val="32"/>
        </w:rPr>
        <w:t>these are reports re: WISe services fTo see the latest state-wide BHAS report, here is the link.  https://fortress.wa.gov/hca/wisebhasreports/QuarterlyWISeReport.html</w:t>
      </w:r>
      <w:r w:rsidRPr="00C108F2">
        <w:rPr>
          <w:sz w:val="32"/>
          <w:szCs w:val="32"/>
        </w:rPr>
        <w:cr/>
        <w:t>To see (and compare) the King County regional report, this is the link.  https://fortress.wa.gov/hca/wisebhasreports/KingCounty.htmlorm HCA (I will show a couple king county slides in a moment)</w:t>
      </w:r>
    </w:p>
    <w:p w14:paraId="2B5C9E9E" w14:textId="77777777" w:rsidR="00C108F2" w:rsidRDefault="00C108F2" w:rsidP="001F2AC8">
      <w:pPr>
        <w:rPr>
          <w:sz w:val="32"/>
          <w:szCs w:val="32"/>
        </w:rPr>
      </w:pPr>
    </w:p>
    <w:p w14:paraId="312C259F" w14:textId="598EA305" w:rsidR="00C108F2" w:rsidRDefault="00C108F2" w:rsidP="001F2AC8">
      <w:pPr>
        <w:rPr>
          <w:sz w:val="32"/>
          <w:szCs w:val="32"/>
        </w:rPr>
      </w:pPr>
      <w:r w:rsidRPr="00C108F2">
        <w:rPr>
          <w:sz w:val="32"/>
          <w:szCs w:val="32"/>
        </w:rPr>
        <w:t xml:space="preserve">More info on the Cans assessment if interested: </w:t>
      </w:r>
      <w:hyperlink r:id="rId27" w:history="1">
        <w:r w:rsidRPr="00FB4921">
          <w:rPr>
            <w:rStyle w:val="Hyperlink"/>
            <w:sz w:val="32"/>
            <w:szCs w:val="32"/>
          </w:rPr>
          <w:t>https://www.hca.wa.gov/assets/program/cans-screen-5-plus-guide.pdf</w:t>
        </w:r>
      </w:hyperlink>
    </w:p>
    <w:p w14:paraId="645D9E53" w14:textId="77777777" w:rsidR="00C108F2" w:rsidRDefault="00C108F2" w:rsidP="001F2AC8">
      <w:pPr>
        <w:rPr>
          <w:sz w:val="32"/>
          <w:szCs w:val="32"/>
        </w:rPr>
      </w:pPr>
    </w:p>
    <w:p w14:paraId="266D6987" w14:textId="7474CA52" w:rsidR="00C108F2" w:rsidRDefault="00C108F2" w:rsidP="001F2AC8">
      <w:pPr>
        <w:rPr>
          <w:sz w:val="32"/>
          <w:szCs w:val="32"/>
        </w:rPr>
      </w:pPr>
      <w:r w:rsidRPr="00C108F2">
        <w:rPr>
          <w:sz w:val="32"/>
          <w:szCs w:val="32"/>
        </w:rPr>
        <w:t>the link for Health Care Authority (HCA): https://www.hca.wa.gov/assets/program/rolling-update-wise-referral-list.pdf</w:t>
      </w:r>
    </w:p>
    <w:p w14:paraId="54BBBA01" w14:textId="77777777" w:rsidR="00C108F2" w:rsidRDefault="00C108F2" w:rsidP="001F2AC8">
      <w:pPr>
        <w:rPr>
          <w:sz w:val="32"/>
          <w:szCs w:val="32"/>
        </w:rPr>
      </w:pPr>
    </w:p>
    <w:p w14:paraId="41795E0E" w14:textId="01225C41" w:rsidR="00C108F2" w:rsidRPr="00537947" w:rsidRDefault="00C108F2" w:rsidP="001F2AC8">
      <w:pPr>
        <w:rPr>
          <w:sz w:val="32"/>
          <w:szCs w:val="32"/>
        </w:rPr>
      </w:pPr>
      <w:r w:rsidRPr="00C108F2">
        <w:rPr>
          <w:sz w:val="32"/>
          <w:szCs w:val="32"/>
        </w:rPr>
        <w:t>mparshall@guidedpathways.org  for more info re:  Summer Gathering                                                                                      NEXT:   Planning Committee Meeting Thursday: 7/6 12:00- 1:15 pm      Also: If you know of (or are ) an Organizations can donation money to support this event for families in services event. We try to provide a basic menu (meat/water/ salad / chips) so we are looking for donations or cash!</w:t>
      </w:r>
    </w:p>
    <w:sectPr w:rsidR="00C108F2"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B351" w14:textId="77777777" w:rsidR="00971980" w:rsidRDefault="00971980" w:rsidP="00777A90">
      <w:pPr>
        <w:spacing w:after="0" w:line="240" w:lineRule="auto"/>
      </w:pPr>
      <w:r>
        <w:separator/>
      </w:r>
    </w:p>
  </w:endnote>
  <w:endnote w:type="continuationSeparator" w:id="0">
    <w:p w14:paraId="591E89FA" w14:textId="77777777" w:rsidR="00971980" w:rsidRDefault="00971980"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FB70" w14:textId="77777777" w:rsidR="00971980" w:rsidRDefault="00971980" w:rsidP="00777A90">
      <w:pPr>
        <w:spacing w:after="0" w:line="240" w:lineRule="auto"/>
      </w:pPr>
      <w:r>
        <w:separator/>
      </w:r>
    </w:p>
  </w:footnote>
  <w:footnote w:type="continuationSeparator" w:id="0">
    <w:p w14:paraId="1A8282B8" w14:textId="77777777" w:rsidR="00971980" w:rsidRDefault="00971980"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05479"/>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36AC"/>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3AAD"/>
    <w:rsid w:val="004C74E5"/>
    <w:rsid w:val="004D43F3"/>
    <w:rsid w:val="004D59BD"/>
    <w:rsid w:val="004E2475"/>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C017A"/>
    <w:rsid w:val="006C4256"/>
    <w:rsid w:val="006C7F7F"/>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1980"/>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1F2D"/>
    <w:rsid w:val="00A91822"/>
    <w:rsid w:val="00A957EB"/>
    <w:rsid w:val="00AA3BA2"/>
    <w:rsid w:val="00AA6B24"/>
    <w:rsid w:val="00AB202F"/>
    <w:rsid w:val="00AB4352"/>
    <w:rsid w:val="00AC771A"/>
    <w:rsid w:val="00AD3B09"/>
    <w:rsid w:val="00AD422C"/>
    <w:rsid w:val="00AE1704"/>
    <w:rsid w:val="00AF7B37"/>
    <w:rsid w:val="00B00B22"/>
    <w:rsid w:val="00B1017D"/>
    <w:rsid w:val="00B11E67"/>
    <w:rsid w:val="00B128CE"/>
    <w:rsid w:val="00B13D89"/>
    <w:rsid w:val="00B2284D"/>
    <w:rsid w:val="00B22A42"/>
    <w:rsid w:val="00B34EFD"/>
    <w:rsid w:val="00B471FF"/>
    <w:rsid w:val="00B47399"/>
    <w:rsid w:val="00B539CA"/>
    <w:rsid w:val="00B55DB8"/>
    <w:rsid w:val="00B56EF7"/>
    <w:rsid w:val="00B64A38"/>
    <w:rsid w:val="00B6658E"/>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83E0E"/>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53889"/>
    <w:rsid w:val="00F63EC6"/>
    <w:rsid w:val="00F66E7A"/>
    <w:rsid w:val="00F72F57"/>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kingcounty.gov/depts/community-human-services/mental-health-substance-abuse/services/Youth/wraparound" TargetMode="External"/><Relationship Id="rId3" Type="http://schemas.openxmlformats.org/officeDocument/2006/relationships/customXml" Target="../customXml/item3.xml"/><Relationship Id="rId21" Type="http://schemas.openxmlformats.org/officeDocument/2006/relationships/hyperlink" Target="https://www.pflagseattl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hca.wa.gov/free-or-low-cost-health-care/i-need-behavioral-health-support/wraparound-intensive-services-wi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hetrevorproje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ccseattl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lsen.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mberthou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gersollgendercenter.org/" TargetMode="External"/><Relationship Id="rId27" Type="http://schemas.openxmlformats.org/officeDocument/2006/relationships/hyperlink" Target="https://www.hca.wa.gov/assets/program/cans-screen-5-plu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2023-07-26T21:47:00Z</dcterms:created>
  <dcterms:modified xsi:type="dcterms:W3CDTF">2023-07-26T21:47:00Z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